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thrm-20231231.htm"/>
      <w:bookmarkStart w:id="1" w:name="ksthrm20231231"/>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1"/>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1"/>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1"/>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1"/>
        </w:rPr>
        <w:t>FORM 10-K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15"/>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1"/>
        </w:rPr>
        <w:t>Annual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for the fiscal year ended December 31, 2023</w:t>
      </w:r>
    </w:p>
    <w:p>
      <w:pPr>
        <w:pStyle w:val="TextBody"/>
        <w:bidi w:val="0"/>
        <w:spacing w:before="80" w:after="283"/>
        <w:jc w:val="center"/>
        <w:rPr>
          <w:rFonts w:ascii="Times New Roman" w:hAnsi="Times New Roman"/>
          <w:sz w:val="20"/>
        </w:rPr>
      </w:pPr>
      <w:r>
        <w:rPr>
          <w:rFonts w:ascii="Times New Roman" w:hAnsi="Times New Roman"/>
          <w:b/>
          <w:color w:val="000000"/>
          <w:sz w:val="15"/>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1"/>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5"/>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5"/>
        </w:rPr>
        <w:t>Commission file number 0-21810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3"/>
        </w:rPr>
        <w:t>GENTHERM INCORPORATED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3891" w:type="dxa"/>
        <w:jc w:val="left"/>
        <w:tblInd w:w="0" w:type="dxa"/>
        <w:tblLayout w:type="fixed"/>
        <w:tblCellMar>
          <w:top w:w="28" w:type="dxa"/>
          <w:left w:w="28" w:type="dxa"/>
          <w:bottom w:w="28" w:type="dxa"/>
          <w:right w:w="28" w:type="dxa"/>
        </w:tblCellMar>
      </w:tblPr>
      <w:tblGrid>
        <w:gridCol w:w="2536"/>
        <w:gridCol w:w="109"/>
        <w:gridCol w:w="1246"/>
      </w:tblGrid>
      <w:tr>
        <w:trPr/>
        <w:tc>
          <w:tcPr>
            <w:tcW w:w="2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Michigan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95-4318554</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3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21680 Haggerty Road, Northville, MI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48167</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5"/>
        </w:rPr>
        <w:t>Registrant’s telephone number, including area code: (248) 504-0500</w:t>
      </w:r>
      <w:r>
        <w:rPr>
          <w:rFonts w:ascii="Times New Roman" w:hAnsi="Times New Roman"/>
          <w:color w:val="000000"/>
          <w:sz w:val="20"/>
        </w:rPr>
        <w:t xml:space="preserve"> </w:t>
      </w:r>
    </w:p>
    <w:p>
      <w:pPr>
        <w:pStyle w:val="TextBody"/>
        <w:bidi w:val="0"/>
        <w:spacing w:before="80" w:after="80"/>
        <w:jc w:val="center"/>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tbl>
      <w:tblPr>
        <w:tblW w:w="6033" w:type="dxa"/>
        <w:jc w:val="left"/>
        <w:tblInd w:w="0" w:type="dxa"/>
        <w:tblLayout w:type="fixed"/>
        <w:tblCellMar>
          <w:top w:w="28" w:type="dxa"/>
          <w:left w:w="28" w:type="dxa"/>
          <w:bottom w:w="28" w:type="dxa"/>
          <w:right w:w="28" w:type="dxa"/>
        </w:tblCellMar>
      </w:tblPr>
      <w:tblGrid>
        <w:gridCol w:w="1906"/>
        <w:gridCol w:w="1186"/>
        <w:gridCol w:w="2941"/>
      </w:tblGrid>
      <w:tr>
        <w:trPr/>
        <w:tc>
          <w:tcPr>
            <w:tcW w:w="190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18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w:t>
            </w:r>
          </w:p>
        </w:tc>
        <w:tc>
          <w:tcPr>
            <w:tcW w:w="2941" w:type="dxa"/>
            <w:tcBorders/>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Name</w:t>
            </w:r>
            <w:r>
              <w:rPr>
                <w:rFonts w:ascii="Times New Roman" w:hAnsi="Times New Roman"/>
                <w:color w:val="000000"/>
                <w:sz w:val="15"/>
              </w:rPr>
              <w:t xml:space="preserve"> </w:t>
            </w:r>
            <w:r>
              <w:rPr>
                <w:rFonts w:ascii="Times New Roman" w:hAnsi="Times New Roman"/>
                <w:b/>
                <w:color w:val="000000"/>
                <w:sz w:val="15"/>
              </w:rPr>
              <w:t>of each exchange on which registered</w:t>
            </w:r>
          </w:p>
        </w:tc>
      </w:tr>
      <w:tr>
        <w:trPr/>
        <w:tc>
          <w:tcPr>
            <w:tcW w:w="1906"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no par value</w:t>
            </w:r>
          </w:p>
        </w:tc>
        <w:tc>
          <w:tcPr>
            <w:tcW w:w="1186"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THRM</w:t>
            </w:r>
          </w:p>
        </w:tc>
        <w:tc>
          <w:tcPr>
            <w:tcW w:w="2941" w:type="dxa"/>
            <w:tcBorders/>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Nasdaq</w:t>
            </w:r>
          </w:p>
        </w:tc>
      </w:tr>
    </w:tbl>
    <w:p>
      <w:pPr>
        <w:pStyle w:val="TextBody"/>
        <w:bidi w:val="0"/>
        <w:spacing w:before="80" w:after="283"/>
        <w:jc w:val="center"/>
        <w:rPr>
          <w:rFonts w:ascii="Times New Roman" w:hAnsi="Times New Roman"/>
          <w:sz w:val="20"/>
        </w:rPr>
      </w:pPr>
      <w:r>
        <w:rPr>
          <w:rFonts w:ascii="Times New Roman" w:hAnsi="Times New Roman"/>
          <w:b/>
          <w:color w:val="000000"/>
          <w:sz w:val="15"/>
        </w:rPr>
        <w:t>Securities registered pursuant to Section 12(g) of the Act: 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27" w:type="dxa"/>
        <w:jc w:val="left"/>
        <w:tblInd w:w="0" w:type="dxa"/>
        <w:tblLayout w:type="fixed"/>
        <w:tblCellMar>
          <w:top w:w="28" w:type="dxa"/>
          <w:left w:w="28" w:type="dxa"/>
          <w:bottom w:w="28" w:type="dxa"/>
          <w:right w:w="28" w:type="dxa"/>
        </w:tblCellMar>
      </w:tblPr>
      <w:tblGrid>
        <w:gridCol w:w="1411"/>
        <w:gridCol w:w="146"/>
        <w:gridCol w:w="37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ﬁled a report on and attestation to its management’s assessment of the effectiveness of its internal control over financial reporting under Section 404(b) of the Sarbanes-Oxley Act (15 U.S.C. 7262(b)) by the registered public accounting ﬁrm that prepared or issued its audit report.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registrant’s Common Stock held by non-affiliates of the registrant, computed by reference to the closing price of such Common Stock on The Nasdaq Global Select Market as of the last business day of the registrant’s most recently completed second fiscal quarter, June 30, 2023, was $1,841,068,675. For purposes of this computation, the registrant has excluded the market value of all shares of its Common Stock reported as being beneficially owned by executive officers and directors; such exclusion shall not, however, be deemed to constitute an admission that any such person is an “affiliate” of the registrant.</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February 15, 2024, there were 31,544,181</w:t>
      </w:r>
      <w:r>
        <w:rPr>
          <w:rFonts w:ascii="Times New Roman" w:hAnsi="Times New Roman"/>
          <w:color w:val="000000"/>
          <w:sz w:val="20"/>
        </w:rPr>
        <w:t xml:space="preserve"> </w:t>
      </w:r>
      <w:r>
        <w:rPr>
          <w:rFonts w:ascii="Times New Roman" w:hAnsi="Times New Roman"/>
          <w:color w:val="000000"/>
          <w:sz w:val="15"/>
        </w:rPr>
        <w:t>issued and outstanding shares of Common Stock of the registrant.</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40" w:after="283"/>
        <w:jc w:val="both"/>
        <w:rPr>
          <w:rFonts w:ascii="Times New Roman" w:hAnsi="Times New Roman"/>
          <w:color w:val="000000"/>
          <w:sz w:val="15"/>
        </w:rPr>
      </w:pPr>
      <w:r>
        <w:rPr>
          <w:rFonts w:ascii="Times New Roman" w:hAnsi="Times New Roman"/>
          <w:color w:val="000000"/>
          <w:sz w:val="15"/>
        </w:rPr>
        <w:t>Portions of the proxy statement for the 2024 annual meeting of shareholders are incorporated by reference into Part III of this Annual Report to the extent described herein.</w:t>
      </w:r>
    </w:p>
    <w:p>
      <w:pPr>
        <w:pStyle w:val="TextBody"/>
        <w:pBdr>
          <w:bottom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0"/>
        <w:gridCol w:w="146"/>
        <w:gridCol w:w="8521"/>
        <w:gridCol w:w="316"/>
        <w:gridCol w:w="432"/>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457" w:type="dxa"/>
            <w:gridSpan w:val="3"/>
            <w:tcBorders/>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316"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Business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1B:</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b">
              <w:r>
                <w:rPr>
                  <w:rStyle w:val="InternetLink"/>
                  <w:rFonts w:ascii="Times New Roman" w:hAnsi="Times New Roman"/>
                  <w:color w:val="0000FF"/>
                  <w:sz w:val="20"/>
                  <w:u w:val="single"/>
                </w:rPr>
                <w:t>Unresolved Staff Comments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32" w:type="dxa"/>
            <w:tcBorders/>
            <w:vAlign w:val="center"/>
          </w:tcPr>
          <w:p>
            <w:pPr>
              <w:pStyle w:val="TableContents"/>
              <w:bidi w:val="0"/>
              <w:spacing w:before="0" w:after="283"/>
              <w:ind w:left="0" w:right="0" w:firstLine="240"/>
              <w:jc w:val="right"/>
              <w:rPr/>
            </w:pPr>
            <w:r>
              <w:rPr/>
              <w:t> </w:t>
            </w:r>
          </w:p>
        </w:tc>
      </w:tr>
      <w:tr>
        <w:trPr/>
        <w:tc>
          <w:tcPr>
            <w:tcW w:w="790" w:type="dxa"/>
            <w:tcBorders/>
            <w:vAlign w:val="center"/>
          </w:tcPr>
          <w:p>
            <w:pPr>
              <w:pStyle w:val="TableContents"/>
              <w:pBdr/>
              <w:bidi w:val="0"/>
              <w:ind w:left="0" w:right="0" w:hanging="24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1C:</w:t>
            </w:r>
          </w:p>
        </w:tc>
        <w:tc>
          <w:tcPr>
            <w:tcW w:w="146" w:type="dxa"/>
            <w:tcBorders/>
            <w:vAlign w:val="center"/>
          </w:tcPr>
          <w:p>
            <w:pPr>
              <w:pStyle w:val="TableContents"/>
              <w:bidi w:val="0"/>
              <w:spacing w:before="0" w:after="283"/>
              <w:jc w:val="left"/>
              <w:rPr/>
            </w:pPr>
            <w:r>
              <w:rPr/>
              <w:t> </w:t>
            </w:r>
          </w:p>
        </w:tc>
        <w:tc>
          <w:tcPr>
            <w:tcW w:w="8521" w:type="dxa"/>
            <w:tcBorders/>
            <w:vAlign w:val="center"/>
          </w:tcPr>
          <w:p>
            <w:pPr>
              <w:pStyle w:val="TableContents"/>
              <w:bidi w:val="0"/>
              <w:spacing w:before="0" w:after="283"/>
              <w:jc w:val="left"/>
              <w:rPr/>
            </w:pPr>
            <w:hyperlink w:anchor="item_1c">
              <w:r>
                <w:rPr>
                  <w:rStyle w:val="InternetLink"/>
                  <w:rFonts w:ascii="Times New Roman" w:hAnsi="Times New Roman"/>
                  <w:color w:val="0000FF"/>
                  <w:sz w:val="20"/>
                  <w:u w:val="single"/>
                </w:rPr>
                <w:t>Cybersecurity</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Properties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Legal Proceedings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32" w:type="dxa"/>
            <w:tcBorders/>
            <w:vAlign w:val="center"/>
          </w:tcPr>
          <w:p>
            <w:pPr>
              <w:pStyle w:val="TableContents"/>
              <w:bidi w:val="0"/>
              <w:spacing w:before="0" w:after="283"/>
              <w:jc w:val="right"/>
              <w:rPr/>
            </w:pPr>
            <w:r>
              <w:rPr/>
              <w:t> </w:t>
            </w:r>
          </w:p>
        </w:tc>
      </w:tr>
      <w:tr>
        <w:trPr/>
        <w:tc>
          <w:tcPr>
            <w:tcW w:w="9457" w:type="dxa"/>
            <w:gridSpan w:val="3"/>
            <w:tcBorders/>
            <w:vAlign w:val="center"/>
          </w:tcPr>
          <w:p>
            <w:pPr>
              <w:pStyle w:val="TableContents"/>
              <w:bidi w:val="0"/>
              <w:jc w:val="left"/>
              <w:rPr/>
            </w:pPr>
            <w:r>
              <w:rPr/>
              <w:t> </w:t>
            </w:r>
          </w:p>
          <w:p>
            <w:pPr>
              <w:pStyle w:val="TableContents"/>
              <w:pBdr/>
              <w:bidi w:val="0"/>
              <w:spacing w:before="0" w:after="20"/>
              <w:ind w:left="0" w:right="0" w:hanging="240"/>
              <w:jc w:val="left"/>
              <w:rPr/>
            </w:pPr>
            <w:hyperlink w:anchor="part_ii">
              <w:r>
                <w:rPr>
                  <w:rStyle w:val="InternetLink"/>
                  <w:rFonts w:ascii="Times New Roman" w:hAnsi="Times New Roman"/>
                  <w:b/>
                  <w:color w:val="0000FF"/>
                  <w:sz w:val="20"/>
                  <w:u w:val="single"/>
                </w:rPr>
                <w:t>Part II</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32"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the Registrant’s Common Stock, Related Stockholder Matters and Issuer Purchases of Equity Securities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7:</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Management’s Discussion and Analysis of Financial Condition and Results of Operations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7A:</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8:</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Statements and Supplementary Data</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9:</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9A:</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9B:</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9b">
              <w:r>
                <w:rPr>
                  <w:rStyle w:val="InternetLink"/>
                  <w:rFonts w:ascii="Times New Roman" w:hAnsi="Times New Roman"/>
                  <w:color w:val="0000FF"/>
                  <w:sz w:val="20"/>
                  <w:u w:val="single"/>
                </w:rPr>
                <w:t>Other Information</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9C:</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32" w:type="dxa"/>
            <w:tcBorders/>
            <w:vAlign w:val="center"/>
          </w:tcPr>
          <w:p>
            <w:pPr>
              <w:pStyle w:val="TableContents"/>
              <w:bidi w:val="0"/>
              <w:spacing w:before="0" w:after="283"/>
              <w:jc w:val="right"/>
              <w:rPr/>
            </w:pPr>
            <w:r>
              <w:rPr/>
              <w:t> </w:t>
            </w:r>
          </w:p>
        </w:tc>
      </w:tr>
      <w:tr>
        <w:trPr/>
        <w:tc>
          <w:tcPr>
            <w:tcW w:w="9457" w:type="dxa"/>
            <w:gridSpan w:val="3"/>
            <w:tcBorders/>
            <w:vAlign w:val="center"/>
          </w:tcPr>
          <w:p>
            <w:pPr>
              <w:pStyle w:val="TableContents"/>
              <w:bidi w:val="0"/>
              <w:jc w:val="left"/>
              <w:rPr/>
            </w:pPr>
            <w:r>
              <w:rPr/>
              <w:t> </w:t>
            </w:r>
          </w:p>
          <w:p>
            <w:pPr>
              <w:pStyle w:val="TableContents"/>
              <w:pBdr/>
              <w:bidi w:val="0"/>
              <w:spacing w:before="0" w:after="20"/>
              <w:ind w:left="0" w:right="0" w:hanging="240"/>
              <w:jc w:val="left"/>
              <w:rPr/>
            </w:pPr>
            <w:hyperlink w:anchor="part_iii">
              <w:r>
                <w:rPr>
                  <w:rStyle w:val="InternetLink"/>
                  <w:rFonts w:ascii="Times New Roman" w:hAnsi="Times New Roman"/>
                  <w:b/>
                  <w:color w:val="0000FF"/>
                  <w:sz w:val="20"/>
                  <w:u w:val="single"/>
                </w:rPr>
                <w:t>Part III</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10:</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11:</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12:</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13:</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14:</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32" w:type="dxa"/>
            <w:tcBorders/>
            <w:vAlign w:val="center"/>
          </w:tcPr>
          <w:p>
            <w:pPr>
              <w:pStyle w:val="TableContents"/>
              <w:bidi w:val="0"/>
              <w:spacing w:before="0" w:after="283"/>
              <w:jc w:val="right"/>
              <w:rPr/>
            </w:pPr>
            <w:r>
              <w:rPr/>
              <w:t> </w:t>
            </w:r>
          </w:p>
        </w:tc>
      </w:tr>
      <w:tr>
        <w:trPr/>
        <w:tc>
          <w:tcPr>
            <w:tcW w:w="9457" w:type="dxa"/>
            <w:gridSpan w:val="3"/>
            <w:tcBorders/>
            <w:vAlign w:val="center"/>
          </w:tcPr>
          <w:p>
            <w:pPr>
              <w:pStyle w:val="TableContents"/>
              <w:bidi w:val="0"/>
              <w:jc w:val="left"/>
              <w:rPr/>
            </w:pPr>
            <w:r>
              <w:rPr/>
              <w:t> </w:t>
            </w:r>
          </w:p>
          <w:p>
            <w:pPr>
              <w:pStyle w:val="TableContents"/>
              <w:pBdr/>
              <w:bidi w:val="0"/>
              <w:spacing w:before="0" w:after="20"/>
              <w:ind w:left="0" w:right="0" w:hanging="240"/>
              <w:jc w:val="left"/>
              <w:rPr/>
            </w:pPr>
            <w:hyperlink w:anchor="part_iv">
              <w:r>
                <w:rPr>
                  <w:rStyle w:val="InternetLink"/>
                  <w:rFonts w:ascii="Times New Roman" w:hAnsi="Times New Roman"/>
                  <w:b/>
                  <w:color w:val="0000FF"/>
                  <w:sz w:val="20"/>
                  <w:u w:val="single"/>
                </w:rPr>
                <w:t>Part IV</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32" w:type="dxa"/>
            <w:tcBorders/>
            <w:vAlign w:val="center"/>
          </w:tcPr>
          <w:p>
            <w:pPr>
              <w:pStyle w:val="TableContents"/>
              <w:bidi w:val="0"/>
              <w:spacing w:before="0" w:after="283"/>
              <w:jc w:val="left"/>
              <w:rPr/>
            </w:pPr>
            <w:r>
              <w:rPr/>
              <w:t> </w:t>
            </w:r>
          </w:p>
        </w:tc>
      </w:tr>
      <w:tr>
        <w:trPr/>
        <w:tc>
          <w:tcPr>
            <w:tcW w:w="790" w:type="dxa"/>
            <w:tcBorders/>
            <w:vAlign w:val="center"/>
          </w:tcPr>
          <w:p>
            <w:pPr>
              <w:pStyle w:val="TableContents"/>
              <w:bidi w:val="0"/>
              <w:jc w:val="left"/>
              <w:rPr/>
            </w:pPr>
            <w:r>
              <w:rPr/>
              <w:t> </w:t>
            </w:r>
          </w:p>
          <w:p>
            <w:pPr>
              <w:pStyle w:val="TableContents"/>
              <w:pBdr/>
              <w:bidi w:val="0"/>
              <w:spacing w:before="0" w:after="20"/>
              <w:ind w:left="0" w:right="0" w:hanging="240"/>
              <w:jc w:val="left"/>
              <w:rPr>
                <w:rFonts w:ascii="Times New Roman" w:hAnsi="Times New Roman"/>
                <w:color w:val="000000"/>
                <w:sz w:val="20"/>
              </w:rPr>
            </w:pPr>
            <w:r>
              <w:rPr>
                <w:rFonts w:ascii="Times New Roman" w:hAnsi="Times New Roman"/>
                <w:color w:val="000000"/>
                <w:sz w:val="20"/>
              </w:rPr>
              <w:t>Item 15:</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and Financial Statement Schedules</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32" w:type="dxa"/>
            <w:tcBorders/>
            <w:vAlign w:val="center"/>
          </w:tcPr>
          <w:p>
            <w:pPr>
              <w:pStyle w:val="TableContents"/>
              <w:bidi w:val="0"/>
              <w:spacing w:before="0" w:after="283"/>
              <w:jc w:val="right"/>
              <w:rPr/>
            </w:pPr>
            <w:r>
              <w:rPr/>
              <w:t> </w:t>
            </w:r>
          </w:p>
        </w:tc>
      </w:tr>
      <w:tr>
        <w:trPr/>
        <w:tc>
          <w:tcPr>
            <w:tcW w:w="790"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146" w:type="dxa"/>
            <w:tcBorders/>
            <w:vAlign w:val="center"/>
          </w:tcPr>
          <w:p>
            <w:pPr>
              <w:pStyle w:val="TableContents"/>
              <w:bidi w:val="0"/>
              <w:spacing w:before="0" w:after="283"/>
              <w:jc w:val="left"/>
              <w:rPr>
                <w:sz w:val="4"/>
                <w:szCs w:val="4"/>
              </w:rPr>
            </w:pPr>
            <w:r>
              <w:rPr>
                <w:sz w:val="4"/>
                <w:szCs w:val="4"/>
              </w:rPr>
            </w:r>
          </w:p>
        </w:tc>
        <w:tc>
          <w:tcPr>
            <w:tcW w:w="8521" w:type="dxa"/>
            <w:tcBorders/>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31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32"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bookmarkStart w:id="2" w:name="part_i"/>
      <w:bookmarkEnd w:id="2"/>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Annual Report on Form 10-K for the year ended December 31, 2023 (this “Annual Report”) contains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expected light vehicle production in the Company’s key markets; the integration of acquisitions; the impact of macroeconomic and geopolitical conditions; the components of and our ability to execute our updated strategic plan and 2023 manufacturing footprint rationalization restructuring plan; long-term consumer and technological trends in the Automotive industry and our related market opportunity for our existing and new products and technologies; the competitive landscape; the impact of global tax reform legislation; the sufficiency of our cash balances and cash generated from operating, investing and financing activities for our future liquidity and capital resource needs; and our ability to finance sufficient working capital. Reference is made in particular to forward-looking statements included in “Item 1. Business,” “Item 1A. Risk Factors” and “Item 7. Management’s Discussion and Analysis of Financial Condition and Results of Operations.” Such statements may be identified by the use of forward-looking terminology such as “may”, “will”, “expect”, “believe”, “estimate”, “anticipate”, “intend”, “continue”, or similar terms, variations of such terms or the negative of such terms.</w:t>
      </w:r>
    </w:p>
    <w:p>
      <w:pPr>
        <w:pStyle w:val="TextBody"/>
        <w:bidi w:val="0"/>
        <w:spacing w:before="120" w:after="283"/>
        <w:jc w:val="left"/>
        <w:rPr>
          <w:rFonts w:ascii="Times New Roman" w:hAnsi="Times New Roman"/>
          <w:sz w:val="20"/>
        </w:rPr>
      </w:pPr>
      <w:r>
        <w:rPr>
          <w:rFonts w:ascii="Times New Roman" w:hAnsi="Times New Roman"/>
          <w:i/>
          <w:color w:val="000000"/>
          <w:sz w:val="20"/>
        </w:rPr>
        <w:t>The forward-looking statements included in this Annual Report are made as of the date hereof or as of the date specified and are based on management’s reasonable expectations and beliefs. Such forward-looking statements are subject to a number of important assumptions, significant risks and uncertainties (some of which are beyond our control) and other factors that may cause the Company’s actual results or performance to differ materially from that described in or indicated by the forward-looking statements. Important factors that could cause actual results to differ materially from those in the forward-looking statements include, but are not limited to those discussed in Part 1, Item 1A of this Form 10-K under the heading "Risk Factors," which are incorporated herein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the Company’s business and financial results. 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pStyle w:val="TextBody"/>
        <w:bidi w:val="0"/>
        <w:spacing w:before="240" w:after="283"/>
        <w:jc w:val="left"/>
        <w:rPr>
          <w:rFonts w:ascii="Times New Roman" w:hAnsi="Times New Roman"/>
          <w:sz w:val="20"/>
        </w:rPr>
      </w:pPr>
      <w:bookmarkStart w:id="3" w:name="item_1"/>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otherwise indicated, references to “Gentherm”, “the Company”, “we”, “our” and “us” in this Annual Report refer to Gentherm Incorporated and its consolidated subsidiaries.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Except to the extent expressly noted herein, the content of our website or the websites of other third parties noted herein are not incorporated by reference in this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Incorporated is the global market leader of innovative thermal management and pneumatic comfort technologies for the automotive industry and a leader in medical patient temperature management. Automotive products include variable temperature Climate Control Seats® (“CCS”), heated automotive interior systems (including heated seats, steering wheels, armrests and other components), battery performance solutions, cable systems, lumbar and massage comfort solutions, fuel management valves and other valves for brake and engine systems, and other electronic devices. Our automotive products can be found on vehicles manufactured by nearly all the major original equipment manufacturers ("OEMs") operating in North America and Europe, and several major OEMs in Asia. We operate in locations aligned with our major customers’ product strategies to provide locally enhanced design, integration and production capabilities. Medical products include patient temperature management systems. Our medical products can be found in hospitals throughout the world, primarily in the U.S., China, Germany and Brazil. The Company is also developing a number of new technologies and products that will help enable improvements to existing products, improve health, wellness and patient outcomes and will lead to new product applications for existing and new and adjacent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incorporated under the laws of the State of Michigan. Our website is www.gentherm.com. Our Annual Reports on Form 10-K, Quarterly Reports on Form 10-Q, Current Reports on Form 8-K and amendments to those reports filed or furnished pursuant to Section 13(a) or 15(d) of the Securities Exchange Act of 1934, as amended (the “Exchange Act”), are made available free of charge through our website, </w:t>
      </w:r>
      <w:r>
        <w:rPr>
          <w:rFonts w:ascii="Times New Roman" w:hAnsi="Times New Roman"/>
          <w:color w:val="000000"/>
          <w:sz w:val="20"/>
          <w:u w:val="single"/>
        </w:rPr>
        <w:t>www.gentherm.com</w:t>
      </w:r>
      <w:r>
        <w:rPr>
          <w:rFonts w:ascii="Times New Roman" w:hAnsi="Times New Roman"/>
          <w:color w:val="000000"/>
          <w:sz w:val="20"/>
        </w:rPr>
        <w:t xml:space="preserve">, as soon as reasonably practicable after we electronically file them with or furnish them to the Securities and Exchange Commission (“SEC”). These reports are also available on the SEC’s website, </w:t>
      </w:r>
      <w:r>
        <w:rPr>
          <w:rFonts w:ascii="Times New Roman" w:hAnsi="Times New Roman"/>
          <w:color w:val="000000"/>
          <w:sz w:val="20"/>
          <w:u w:val="single"/>
        </w:rPr>
        <w:t>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reportable segments for financial reporting purposes: Automotive and Medical.</w:t>
      </w:r>
    </w:p>
    <w:p>
      <w:pPr>
        <w:pStyle w:val="TextBody"/>
        <w:bidi w:val="0"/>
        <w:spacing w:before="120" w:after="120"/>
        <w:jc w:val="left"/>
        <w:rPr>
          <w:rFonts w:ascii="Times New Roman" w:hAnsi="Times New Roman"/>
          <w:sz w:val="20"/>
        </w:rPr>
      </w:pPr>
      <w:r>
        <w:rPr>
          <w:rFonts w:ascii="Times New Roman" w:hAnsi="Times New Roman"/>
          <w:i/>
          <w:color w:val="000000"/>
          <w:sz w:val="20"/>
        </w:rPr>
        <w:t>Automotive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Automotive reporting segment is comprised of the results from our global automotive businesses, including the design, development, manufacturing and sales of automotive climate comfort systems, lumbar and massage comfort solutions, automotive cable systems, battery performance solutions, valve systems, and automotive electronic and software systems.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Climate comfort systems include seat heaters, blowers and thermoelectric devices for variable temperature CCS and steering wheel heaters designed to provide individualized thermal comfort to automobile passengers, and integrated electronic components, such as electronic control units that utilize our proprietary electronics technology and software. Other climate comfort systems include neck and shoulder conditioners and climate control system products for door panels and armrests.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Lumbar and massage comfort solutions include lumbar support, side bolster adjustment, multi-contour seats and massage systems that can be regulated according to the vehicle occupant.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Automotive cable systems include ready-made individual cables and ready-to-install cable networks used to connect automotive components to power sources.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Battery performance solutions consist of cell connecting devices and battery cable technologies used for various types of automotive batteries and thermal management products for heating or cooling 12 volts, 48 volts and high voltage batteries and battery modules.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Valve systems consist of applications that offer solutions in fuel management, ranging from the design of tank ventilation and filling functions to the closed-coupled fuel regulation. The modular systems allow for customizable adaptations. Valve systems also includes other valves for brake and engine systems.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Automotive electronic and software systems include electronic control units for climate comfort systems, electronic control units for memory seat modules and other devices.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Medical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reporting segment is comprised of the results from the patient temperature management business in the medical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Strategy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Globally, we develop, manufacture, and deliver differentiated solutions for automotive and patient thermal management markets that make meaningful differences in everyday life by improving health, wellness, comfort and energy efficiency.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business strategy consists of four major pillars: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Leverage World Class Talent and Culture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built a remarkably talented global team by ingraining throughout the organization four Winning Culture Behaviors: Customer Focus, Global Mindset, Employee Engagement &amp; Inclusion, and Performance &amp; Accountability. Combined with a culture that values diversity, equity, inclusion and belonging ("DEI&amp;B") as a cornerstone of the company, we have laid a strong foundation for future growth across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Extend Technology Leadership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will continue to expand our technology leadership with focused investments in key core technologies and competencies, including advanced sensing, human-centric science-based design, system engineering, and software and electronics.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Focused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focused growth strategy includes four key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Accelerate thermal comfort growth by leveraging human thermophysiology and smart ClimateSense® control algorithms to increase personalized passenger comfort and improve energy efficiency;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 pneumatic comfort business by leveraging the thermal products market share and customer relationships, as well as introducing products and technologies featuring the benefits of combined thermal and pneumatic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bring to market and expand our industry leading and proprietary next generation solutions through innovation;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patient thermal solutions that leverage our expertise in thermophysiology and drive synergies from our automotive climate and comfort businesses, as well as introducing new products and technologies.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areas of the focused growth strategy are underpinned and enabled by our electronic and software systems.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Deliver Financial Excellence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will continue to build a culture of performance that includes a focus on high-return growth opportunities. In recent years, we undertook restructuring actions to reduce global overhead costs to improve Selling, general and administrative expenses. We are continuing to strengthen our operational discipline and striving to expand margins and return on invested capital through manufacturing productivity, sourcing excellence and cash flow generation.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Development and Partnerships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research, development and partnerships activities are an essential part of our efforts to develop new or improved innovative products. Through both internal and external programs, we are working to develop a comprehensive knowledge of thermal management and pneumatic comfort systems that demonstrates functionality and performance. These activities are critical to optimize energy utilization and production efficiencies, improve effectiveness in our products and minimize the cost to integrate our products with those of our customers.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perform advanced research and development on thermal and pneumatic comfort technologies, including thermal management systems that utilize new proprietary comfort software algorithms, to enhance the efficiency and functionality of our automotive heating and cooling products. We believe there are substantial opportunities to expand our human-centric value proposition beyond thermal in comfort, health and wellness. Through the integration of pneumatic comfort technologies with our thermal technologies, and application of software algorithms, we hope to deliver heightened value to our consumers through an experience that goes beyond traditional comfort regulation and more directly helps to promote individual health and well-being.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offer our customers cutting-edge products and technologies, our strategy includes partnering with key technology leaders in our industry. Our advanced partnership with global automakers and manufacturers address and work to solve industry preferences of today and tomorrow by leveraging our expertise in human thermophysiology and physiotherapy.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is conducted globally and predominantly at our world headquarters in Northville, Michigan, our Technology Center in Farmington Hills, Michigan, our European research facility in Odelzhausen, Germany and our Asian research facility in Shanghai, China.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Product design and development also is performed at all of our manufacturing facilities to support our geographically diverse customers. We believe the localized development model employed at our manufacturing facilities improves our ability to effectively serve our customers and increases our innovative capacity.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Core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Automotive, Gentherm is the global market leader of innovative thermal management and pneumatic comfort technologies. For our Medical business, our expertise in thermal management is focused on managing the thermal conditions of people. </w:t>
      </w:r>
    </w:p>
    <w:p>
      <w:pPr>
        <w:pStyle w:val="TextBody"/>
        <w:bidi w:val="0"/>
        <w:spacing w:before="120" w:after="283"/>
        <w:jc w:val="left"/>
        <w:rPr>
          <w:rFonts w:ascii="Times New Roman" w:hAnsi="Times New Roman"/>
          <w:sz w:val="20"/>
        </w:rPr>
      </w:pPr>
      <w:r>
        <w:rPr>
          <w:rFonts w:ascii="Times New Roman" w:hAnsi="Times New Roman"/>
          <w:i/>
          <w:color w:val="000000"/>
          <w:sz w:val="20"/>
        </w:rPr>
        <w:t>Resistive Heaters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Resistive heater technologies are comprised of wire, carbon fiber or positive thermal coefficient (“PTC”) heating elements that quickly and effectively deliver heat to people and objects. Wire heating elements are designed from stainless steel, copper, our proprietary carbon fiber woven lattice technology called Carbotex® or printed circuit PTC heaters based on the specifications for a particular product application. Resistive heaters have multiple automotive applications, including seat heating, steering wheel heating, interior panel heating and battery heating.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Thermoelectric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thermal products manage the thermal conditions of people using our internally developed advanced thermoelectric device technology (“TED”). A TED is a solid-state circuit that has the capability to produce both hot and cold thermal conditions by use of the Peltier effect. The advantages of advanced TED over conventional compressed gas systems include a reduced environmental impact and less complexity as they have no moving parts and are compact and light weight. Our work on this technology has yielded improvements in areas of functionality, efficiency, durability and performance.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Air Moving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highly durable and quiet air moving devices, some of which include our proprietary blower and fan designs, are essential to all of our products that require air movement. We have a broad portfolio of these products that are tailored to various automotive applications, including seat ventilation and electric vehicle battery cooling.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Pneumatic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Pneumatic massage and lumbar systems operate by inflation and deflation of air bladders to achieve desired comfort effect. Our products' differentiation is that our underlying valve technology for regulating air flow is based on shape memory alloy valves ("SMA"). Gentherm has developed actuators and valves with SMA technology that replace heavy, noisy and less accurate electromagnetic valves. Our innovative control elements produce precise mechanical forces and movements using the finest wires made of memory metals and without the labor-intensive use of additional sensors.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Electronics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electronics in our core climate comfort solution products are primarily designed and manufactured by us. We also supply value-added electronic products to third parties for adjacent areas within the automotive interior. In addition, Gentherm manufacturers and supplies electronic control units for memory seat modules that include electric motor position sensing technology. This technology further applies to other automotive products requiring fine motor controls.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WellSense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Gentherm introduced WellSense, a software defined consumer experience that delivers customized in-cabin comfort sensations that promote wellness and well-being. The technology we are developing leverages science-based physiology research as the foundation for proprietary software that orchestrates heating, cooling, lumbar and massage comfort effectors. WellSense delivers enhanced wellness and well-being sensations in product offerings suitable for software defined vehicles and over-the-air feature upgrades for all vehicle configurations. The WellSense software development kit can be combined with additional vehicle features like in-cabin audio, visual and aromatic stimulation to deliver unique sensations that go beyond traditional comfort regulation to help promote individual wellness and well-being.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ClimateSense®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ClimateSense® is an integrated comfort system we are designing to create a personalized microclimate for passengers using localized convective, conductive and radiative heating and cooling products. Using automatic regulation technology in combination with our unique occupant-centric control algorithm, ClimateSense® offers the ability to personalize and improve overall occupant thermal comfort, improve time to comfort with (all-electric) pre-conditioning, provide comfort with less energy consumption thereby lowering greenhouse gas emissions by conventional internal combustion and hybrid powertrains, and extend range for electrified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powertrains through a reduction in central heating, ventilation and air conditioning system usage. Our</w:t>
      </w:r>
      <w:r>
        <w:rPr>
          <w:rFonts w:ascii="Times New Roman" w:hAnsi="Times New Roman"/>
          <w:sz w:val="20"/>
        </w:rPr>
        <w:t xml:space="preserve"> first production vehicle award for our ClimateSense® technology</w:t>
      </w:r>
      <w:r>
        <w:rPr>
          <w:rFonts w:ascii="Times New Roman" w:hAnsi="Times New Roman"/>
          <w:color w:val="000000"/>
          <w:sz w:val="20"/>
        </w:rPr>
        <w:t xml:space="preserve"> has launched on the all-new 2024 Cadillac CELESTIQ, and will be followed by a battery electric version of a popular SUV launching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Products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Climate &amp; Comfort Solutions – Seat Climate Control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offers a range of CCS products utilizing proprietary technologies for regulating temperature and enhancing the comfort of vehicle passengers. Our ventilated CCS products move air through the seat to provide conditioning. Our active CCS products utilize TEDs to heat and cool air used to condition the seat. The conditioning air circulates by one of our specially designed air moving devices through an air distribution system installed in the seat cushion and seat back, so that the seat surface can be heated, ventilated or cooled. Each seat has individual electronic controls to adjust the level of heating, ventilating or cooling. Our CCS products improve comfort compared with conventional vehicle cabin air conditioners by focusing heating and cooling directly on the passenger through the seat. Our CCS products can be combined with our resistive heating elements to increase heating capacity and reduce time to comfort.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offering different models of the CCS product, our customers have the opportunity to purchase a wider range of climate control products at different price points. Sales of CCS products, primarily ventilated CCS products, contributed 33%, 35% and 38% to our total product revenues for the years ended December 31, 2023, 2022 and 2021, respectively. </w:t>
      </w:r>
    </w:p>
    <w:p>
      <w:pPr>
        <w:pStyle w:val="TextBody"/>
        <w:bidi w:val="0"/>
        <w:spacing w:before="120" w:after="283"/>
        <w:jc w:val="left"/>
        <w:rPr>
          <w:rFonts w:ascii="Times New Roman" w:hAnsi="Times New Roman"/>
          <w:sz w:val="20"/>
        </w:rPr>
      </w:pPr>
      <w:r>
        <w:rPr>
          <w:rFonts w:ascii="Times New Roman" w:hAnsi="Times New Roman"/>
          <w:i/>
          <w:color w:val="000000"/>
          <w:sz w:val="20"/>
        </w:rPr>
        <w:t>Heated Seat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Heated seats, based on our resistive heater core technology, are seamlessly integrated into automotive seat designs, and are constructed using materials that offer the best capacity, installation characteristics and durability. Our design and manufacturing capabilities allow customers to choose among a variety of resistive heater materials based on their individual vehicle specifications. Sales of heated seat products contributed 21%, 24% and 26% to our total product revenues for the years ended December 31, 2023, 2022 and 2021, respectively.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Intelligent Neck Conditioner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Intelligent neck conditioning systems ventilate warm or temperature-controlled air directly onto the passenger’s neck and shoulder area. The system combines electronics, air moving device technologies and a heating element into a compact, integrated headrest design that can be adjusted to suit the body size of the passenger.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Climate &amp; Comfort Solutions – Surface Climate Control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Heated Steering Wheel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Heated steering wheels deliver heating comfort to automobile drivers through resistive elements. This product can be applied to both leather and wood steering wheels. A solution for drivers in cold and mild weather climates, the heated steering wheel is designed for the global automotive market. </w:t>
      </w:r>
    </w:p>
    <w:p>
      <w:pPr>
        <w:pStyle w:val="TextBody"/>
        <w:bidi w:val="0"/>
        <w:spacing w:before="120" w:after="283"/>
        <w:jc w:val="left"/>
        <w:rPr>
          <w:rFonts w:ascii="Times New Roman" w:hAnsi="Times New Roman"/>
          <w:sz w:val="20"/>
        </w:rPr>
      </w:pPr>
      <w:r>
        <w:rPr>
          <w:rFonts w:ascii="Times New Roman" w:hAnsi="Times New Roman"/>
          <w:i/>
          <w:color w:val="000000"/>
          <w:sz w:val="20"/>
        </w:rPr>
        <w:t>Heated Surfaces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Gentherm’s thermally conductive or radiative surfaces, such as door panel armrest and center console armrest products, are powered by our core technologies. The system is thermally managed by a heating control system which can be discretely located in the door panel or seat of the vehicle. Heated door panels and armrests complement our climate-controlled seat and steering wheel products and provide a superior level of thermal comfort to the driving experience.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Climate &amp; Comfort Solutions – Pneumatic Seat Massage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Gentherm's seat ergonomics system consists primarily of pneumatic lifting elements (air bladders) which are mounted under the surface of seat cushion and back. Through the cyclical inflation and deflation of the lifting elements, the contour of the seat cushion is selectively modified. The lifting elements are controlled by valves, utilizing software that can be enabled in modes by the vehicle occupant in accordance with their preferences and specific body types.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Climate &amp; Comfort Solutions – Electronics Solutions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Memory Seat Modules</w:t>
      </w:r>
    </w:p>
    <w:p>
      <w:pPr>
        <w:pStyle w:val="TextBody"/>
        <w:bidi w:val="0"/>
        <w:spacing w:before="120" w:after="283"/>
        <w:jc w:val="left"/>
        <w:rPr>
          <w:rFonts w:ascii="Times New Roman" w:hAnsi="Times New Roman"/>
          <w:sz w:val="20"/>
        </w:rPr>
      </w:pPr>
      <w:r>
        <w:rPr>
          <w:rFonts w:ascii="Times New Roman" w:hAnsi="Times New Roman"/>
          <w:color w:val="000000"/>
          <w:sz w:val="20"/>
        </w:rPr>
        <w:t>Gentherm has developed a unique way to control certain electrical motors in a vehicle. Our Intelligent Positioning System (IPS</w:t>
      </w:r>
      <w:r>
        <w:rPr>
          <w:rFonts w:ascii="Times New Roman" w:hAnsi="Times New Roman"/>
          <w:color w:val="000000"/>
          <w:sz w:val="13"/>
        </w:rPr>
        <w:t>®</w:t>
      </w:r>
      <w:r>
        <w:rPr>
          <w:rFonts w:ascii="Times New Roman" w:hAnsi="Times New Roman"/>
          <w:color w:val="000000"/>
          <w:sz w:val="20"/>
        </w:rPr>
        <w:t>) product suite utilizes proprietary software to determine the position of a power seat and control the memory seat module.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Hands-On Detection</w:t>
      </w:r>
    </w:p>
    <w:p>
      <w:pPr>
        <w:pStyle w:val="TextBody"/>
        <w:bidi w:val="0"/>
        <w:spacing w:before="120" w:after="283"/>
        <w:jc w:val="left"/>
        <w:rPr>
          <w:rFonts w:ascii="Times New Roman" w:hAnsi="Times New Roman"/>
          <w:sz w:val="20"/>
        </w:rPr>
      </w:pPr>
      <w:r>
        <w:rPr>
          <w:rFonts w:ascii="Times New Roman" w:hAnsi="Times New Roman"/>
          <w:color w:val="000000"/>
          <w:sz w:val="20"/>
        </w:rPr>
        <w:t>All vehicles manufactured with autonomous driving level 2 or higher capabilities are required to ensure that the driver stays in control of the vehicle during operation. In order to accomplish this task, Gentherm developed PilotSense</w:t>
      </w:r>
      <w:r>
        <w:rPr>
          <w:rFonts w:ascii="Times New Roman" w:hAnsi="Times New Roman"/>
          <w:color w:val="000000"/>
          <w:sz w:val="13"/>
        </w:rPr>
        <w:t>TM</w:t>
      </w:r>
      <w:r>
        <w:rPr>
          <w:rFonts w:ascii="Times New Roman" w:hAnsi="Times New Roman"/>
          <w:color w:val="000000"/>
          <w:sz w:val="20"/>
        </w:rPr>
        <w:t xml:space="preserve"> – a sensor integrated into the steering wheel that monitors whether the driver’s hands are maintaining contact with the steering wheel. This product is available for both heated and non-heated steering wheels. </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Battery Performance Solutions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Cell Connecting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Cell connecting systems provide secure connections between advanced automotive batteries to transmit a continuous flow of information about battery temperature and cell voltage during the charging and discharging process to monitor battery system performance. Gentherm has developed a range of cell connecting system products, including flexible foil cell connecting boards that offer improved packaging, weight and functionality. We offer these products in a variety of materials to cover customers’ requirements.</w:t>
      </w:r>
    </w:p>
    <w:p>
      <w:pPr>
        <w:pStyle w:val="TextBody"/>
        <w:bidi w:val="0"/>
        <w:spacing w:before="120" w:after="283"/>
        <w:jc w:val="left"/>
        <w:rPr>
          <w:rFonts w:ascii="Times New Roman" w:hAnsi="Times New Roman"/>
          <w:sz w:val="20"/>
        </w:rPr>
      </w:pPr>
      <w:r>
        <w:rPr>
          <w:rFonts w:ascii="Times New Roman" w:hAnsi="Times New Roman"/>
          <w:i/>
          <w:color w:val="000000"/>
          <w:sz w:val="20"/>
        </w:rPr>
        <w:t>Thermoelectric Battery Thermal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Thermal management is critically important for the long-term operation of advanced automotive batteries. The expansion of electrified vehicle applications, such as electric vehicles, plug-in hybrids and mild hybrids, have increased the demand for battery thermal management (“BTM”) systems that enable wider operating temperature ranges, enhanced driving range and prolonged life of the battery. Gentherm’s BTM system can provide precision battery cooling of 48-volt mild hybrid systems on pack or cell-level using patented TED technology. The BTM system maintains the temperature of the lithium-ion battery or other advanced chemistry battery within an acceptable temperature range without the use of chilled liquids or refrigerant loops, making it a light weight, highly scalable, compact solution ideal for automotive applications. Gentherm’s proprietary BTM system is compact and energy efficient, resulting in a minimal energy usage, which is important for an electrified vehicle.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Aside from battery cooling, Gentherm’s BTM portfolio includes battery heating applications. Based on our proprietary technology, we offer solutions to our customers that enable efficient heating of lithium-ion batteries for most electrified vehicles.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Thermal Convenience Solutions</w:t>
      </w:r>
    </w:p>
    <w:p>
      <w:pPr>
        <w:pStyle w:val="TextBody"/>
        <w:bidi w:val="0"/>
        <w:spacing w:before="120" w:after="283"/>
        <w:jc w:val="left"/>
        <w:rPr>
          <w:rFonts w:ascii="Times New Roman" w:hAnsi="Times New Roman"/>
          <w:sz w:val="20"/>
        </w:rPr>
      </w:pPr>
      <w:r>
        <w:rPr>
          <w:rFonts w:ascii="Times New Roman" w:hAnsi="Times New Roman"/>
          <w:i/>
          <w:color w:val="000000"/>
          <w:sz w:val="20"/>
        </w:rPr>
        <w:t>TrueTherm</w:t>
      </w:r>
      <w:r>
        <w:rPr>
          <w:rFonts w:ascii="Times New Roman" w:hAnsi="Times New Roman"/>
          <w:color w:val="000000"/>
          <w:sz w:val="13"/>
        </w:rPr>
        <w:t>TM</w:t>
      </w:r>
      <w:r>
        <w:rPr>
          <w:rFonts w:ascii="Times New Roman" w:hAnsi="Times New Roman"/>
          <w:color w:val="000000"/>
          <w:sz w:val="20"/>
        </w:rPr>
        <w:t xml:space="preserve"> </w:t>
      </w:r>
      <w:r>
        <w:rPr>
          <w:rFonts w:ascii="Times New Roman" w:hAnsi="Times New Roman"/>
          <w:i/>
          <w:color w:val="000000"/>
          <w:sz w:val="20"/>
        </w:rPr>
        <w:t>Cup Holder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TrueTherm</w:t>
      </w:r>
      <w:r>
        <w:rPr>
          <w:rFonts w:ascii="Times New Roman" w:hAnsi="Times New Roman"/>
          <w:color w:val="000000"/>
          <w:sz w:val="13"/>
        </w:rPr>
        <w:t>TM</w:t>
      </w:r>
      <w:r>
        <w:rPr>
          <w:rFonts w:ascii="Times New Roman" w:hAnsi="Times New Roman"/>
          <w:color w:val="000000"/>
          <w:sz w:val="20"/>
        </w:rPr>
        <w:t xml:space="preserve"> Cup Holder applies Gentherm’s patented TED technologies to keep beverages of automobile drivers and passengers either warm or cool. We have developed a range of cup holder models with varying degrees of functionality, designed to be manufactured in multiple configurations to accommodate different console environments. Our dual independent design provides separate temperature settings in each holder allowing the driver and passenger to individually maintain a heated or cooled beverage. </w:t>
      </w:r>
    </w:p>
    <w:p>
      <w:pPr>
        <w:pStyle w:val="TextBody"/>
        <w:bidi w:val="0"/>
        <w:spacing w:before="120" w:after="283"/>
        <w:jc w:val="left"/>
        <w:rPr>
          <w:rFonts w:ascii="Times New Roman" w:hAnsi="Times New Roman"/>
          <w:sz w:val="20"/>
        </w:rPr>
      </w:pPr>
      <w:r>
        <w:rPr>
          <w:rFonts w:ascii="Times New Roman" w:hAnsi="Times New Roman"/>
          <w:i/>
          <w:color w:val="000000"/>
          <w:sz w:val="20"/>
        </w:rPr>
        <w:t>TrueTherm</w:t>
      </w:r>
      <w:r>
        <w:rPr>
          <w:rFonts w:ascii="Times New Roman" w:hAnsi="Times New Roman"/>
          <w:i/>
          <w:color w:val="000000"/>
          <w:sz w:val="13"/>
        </w:rPr>
        <w:t>TM</w:t>
      </w:r>
      <w:r>
        <w:rPr>
          <w:rFonts w:ascii="Times New Roman" w:hAnsi="Times New Roman"/>
          <w:color w:val="000000"/>
          <w:sz w:val="20"/>
        </w:rPr>
        <w:t xml:space="preserve"> </w:t>
      </w:r>
      <w:r>
        <w:rPr>
          <w:rFonts w:ascii="Times New Roman" w:hAnsi="Times New Roman"/>
          <w:i/>
          <w:color w:val="000000"/>
          <w:sz w:val="20"/>
        </w:rPr>
        <w:t>Storage Unit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Gentherm’s TrueTherm</w:t>
      </w:r>
      <w:r>
        <w:rPr>
          <w:rFonts w:ascii="Times New Roman" w:hAnsi="Times New Roman"/>
          <w:color w:val="000000"/>
          <w:sz w:val="13"/>
        </w:rPr>
        <w:t>TM</w:t>
      </w:r>
      <w:r>
        <w:rPr>
          <w:rFonts w:ascii="Times New Roman" w:hAnsi="Times New Roman"/>
          <w:color w:val="000000"/>
          <w:sz w:val="20"/>
        </w:rPr>
        <w:t xml:space="preserve"> Storage Unit provide for food or beverage cooling for the global automotive market. Using patented TED or refrigeration technologies, the TrueTherm</w:t>
      </w:r>
      <w:r>
        <w:rPr>
          <w:rFonts w:ascii="Times New Roman" w:hAnsi="Times New Roman"/>
          <w:color w:val="000000"/>
          <w:sz w:val="13"/>
        </w:rPr>
        <w:t>TM</w:t>
      </w:r>
      <w:r>
        <w:rPr>
          <w:rFonts w:ascii="Times New Roman" w:hAnsi="Times New Roman"/>
          <w:color w:val="000000"/>
          <w:sz w:val="20"/>
        </w:rPr>
        <w:t xml:space="preserve"> Storage Unit provides temperature control independently from a vehicle’s heating and air conditioning system. It can be custom designed to accommodate tight interior spaces, such as the front floor console of a sport utility vehicle and provide additional cooling capacity to those who have long work commutes or transport multiple passengers.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Automotive Cable Systems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manufactures automotive cable systems used to connect automotive components to power sources. The automotive cable systems are an important element in the production of many of our products and form a significant component in how we generate value to our customers by being an efficient, low-cost and high-quality manufacturer. We offer cable systems as integrated parts of our products and also as stand-alone components for other automotive applications, such as oxygen sensors. Our cable systems business includes both ready-made individual cables and ready-to-install cable networks.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Valve Systems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has deep expertise in automotive fluid management, providing intelligent solutions for applications in engine systems, brake systems and fuel management such as actuators, thermal management valves, crank case ventilation valves, non-return valves, mechanical switching valves, servo assistance valves, fuel limit vent valves, roll over valves and drain valves. We have many years of experience in precision injection molding and valve technology, which include innovative technologies such as the SMA actuating elements. Due to our modular systems, we implement customized adaptations at attractive costs and are prepared to address future global regulatory emissions requirements.</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Patient Temperature Management Systems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aspires to provide healthcare professionals with superior temperature management solutions and clinical expertise that improve patient outcomes, increase the standard of care and enhance patient satisfaction. We provide a full line of patient temperature management systems that utilizes air, water and resistive technologies across multiple product categories addressing the needs of hyper-hypothermia therapy in intensive care, normothermia in surgical procedures and additional warming/cooling therapies utilized in acute and chronic care departments and non-hospital facilities. Our core brands include Blanketrol®/Kool-Kit® hyper-hypothermia system, WarmAir®/FilteredFlo® convective warming system, ASTOPAD® resistive patient warming system (leveraging technology used in our automotive products), Electri-Cool®/Micro-Temp® localized cooling/warming systems, ASTOTHERM®/ASTOFLO® IV fluid and blood warming systems, and Hemotherm® cardiovascular cooling/warming system that delivers precise blood temperature control during cardiopulmonary by-pass and other related cardiovascular procedures.</w:t>
      </w:r>
    </w:p>
    <w:p>
      <w:pPr>
        <w:pStyle w:val="TextBody"/>
        <w:bidi w:val="0"/>
        <w:spacing w:before="240" w:after="283"/>
        <w:jc w:val="left"/>
        <w:rPr>
          <w:rFonts w:ascii="Times New Roman" w:hAnsi="Times New Roman"/>
          <w:sz w:val="20"/>
        </w:rPr>
      </w:pPr>
      <w:r>
        <w:rPr>
          <w:rFonts w:ascii="Times New Roman" w:hAnsi="Times New Roman"/>
          <w:b/>
          <w:color w:val="000000"/>
          <w:sz w:val="20"/>
        </w:rPr>
        <w:t>Automotive Customers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Automotive segment customers include primarily light vehicle OEMs and Tier 1s, including automotive seat manufacturers. We also directly supply CCS products to aftermarket seat distributors and installers.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automotive marketing is directed primarily at the OEMs and their Tier 1s and focuses on the enhanced value consumers attribute to vehicles with thermal and pneumatic solutions. In many cases, the OEMs direct us to work with their suppliers, primarily their Tier 1s, to integrate our products into the vehicle’s seat or interior design. As an independent supplier we can work with any OEM and any seat manufacturer, to create scores of innovative and unique configurations for all of their applications.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Once the integration work is complete, prototypes are sent to the OEMs for evaluation and testing. If an OEM accepts our product, a program can then be launched for a particular model on a production basis, but it normally takes one to three years from the time an OEM decides to include any of our products in a vehicle model to actual production for that vehicle. During this process, we derive funding from prototype sales but obtain no significant revenue until mass production begins. Upon commencement of mass production, our products are sold by Tier 1s to the OEMs. Inherent to the automotive supplier market are costs and commitments that are incurred well in advance of the receipt of orders and resulting revenues from customers.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volume of products we sell is significantly affected by global and regional automotive production levels and the general business conditions in the automotive industry. Our product revenues are generally based upon purchase orders issued by our customers, with updated production schedules for volume adjustments. As such, we typically do not have a backlog of firm orders at any point in time. Once we are selected to supply products for a particular platform, we typically supply those products for the platform life, which is normally five to ten years, although there is no guarantee that this will occur. In addition, when we are the incumbent supplier to a given platform, we believe we have a competitive advantage in winning the redesign or replacement platform, although there is no guarantee that this will occur.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2023, our revenues from sales to our two largest customers, Lear Corporation (“Lear”) and Adient plc (“Adient”) were $217 million and $189 million, respectively, representing 15% and 13% of our product revenues, respectively. Revenues from Lear and Adient represent sales of our climate comfort solutions, pneumatic comfort solutions, battery performance solutions and cable technology products. Lear acquired the Interior Comfort Systems business unit of Kongsberg Automotive ASA in February 2022, and acquired I.G. Bauerhin in April 2023, which are both key competitors of the Company’s climate comfort and pneumatic comfort products. In 2023, we believe there was an immaterial impact to our business as a result of these acquisitions. Lear has expressed an intent to become a leading provider of thermal comfort solutions as part of a vertical integration strategy, and the magnitude of the future adverse impact on our business and financial statements remains subject to significant uncertainty.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loss of or significant reduction of business from Lear or Adient, or direct competition from them, would likely have a material adverse impact on our business, results of operations and cash flows. However, as noted above, in many cases automotive OEMs direct their suppliers such as Lear and Adient to work with us for our climate comfort solutions, pneumatic comfort solutions, battery performance solutions and cable technology products. It is, therefore, relevant to understand how our revenues are divided among the OEMs, as shown below.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Our total product revenues for each of the past three years were divided among the OEMs as follows: </w:t>
      </w:r>
    </w:p>
    <w:tbl>
      <w:tblPr>
        <w:tblW w:w="5248" w:type="dxa"/>
        <w:jc w:val="left"/>
        <w:tblInd w:w="0" w:type="dxa"/>
        <w:tblLayout w:type="fixed"/>
        <w:tblCellMar>
          <w:top w:w="28" w:type="dxa"/>
          <w:left w:w="28" w:type="dxa"/>
          <w:bottom w:w="28" w:type="dxa"/>
          <w:right w:w="28" w:type="dxa"/>
        </w:tblCellMar>
      </w:tblPr>
      <w:tblGrid>
        <w:gridCol w:w="2251"/>
        <w:gridCol w:w="146"/>
        <w:gridCol w:w="146"/>
        <w:gridCol w:w="421"/>
        <w:gridCol w:w="271"/>
        <w:gridCol w:w="146"/>
        <w:gridCol w:w="146"/>
        <w:gridCol w:w="421"/>
        <w:gridCol w:w="271"/>
        <w:gridCol w:w="146"/>
        <w:gridCol w:w="146"/>
        <w:gridCol w:w="421"/>
        <w:gridCol w:w="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Motors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Hyundai</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Volkswagen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Mercedes-Benz</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BMW</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Ford Motor Company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Stellantis</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EV manufacturer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Jaguar/Land Rover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(including Medical)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color w:val="000000"/>
          <w:sz w:val="16"/>
        </w:rPr>
      </w:pPr>
      <w:r>
        <w:rPr>
          <w:rFonts w:ascii="Times New Roman" w:hAnsi="Times New Roman"/>
          <w:color w:val="000000"/>
          <w:sz w:val="16"/>
        </w:rPr>
        <w:t>Reflective of the 2021 merger of Peugeot S.A. and Fiat Chrysler Automobiles N.V.</w:t>
      </w:r>
    </w:p>
    <w:p>
      <w:pPr>
        <w:pStyle w:val="TextBody"/>
        <w:bidi w:val="0"/>
        <w:spacing w:before="240" w:after="283"/>
        <w:jc w:val="left"/>
        <w:rPr>
          <w:rFonts w:ascii="Times New Roman" w:hAnsi="Times New Roman"/>
          <w:sz w:val="20"/>
        </w:rPr>
      </w:pPr>
      <w:r>
        <w:rPr>
          <w:rFonts w:ascii="Times New Roman" w:hAnsi="Times New Roman"/>
          <w:b/>
          <w:color w:val="000000"/>
          <w:sz w:val="20"/>
        </w:rPr>
        <w:t>Automotive 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Gentherm automotive product portfolio aligns well with near-term and long-term consumer and technological trends: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efficiency and electric range – Our technology is best-in-class and provides a unique, innovative, and energy efficient automotive seating experience, which is key to vehicles of the future. Our solutions, including the ClimateSense® and pneumatic comfort systems that we continue to develop, help reduce weight and overall energy consumption of a vehicle, resulting in improved fuel consumption for vehicles with an internal combustion engine, and increased range for electric vehicles. Our Battery Performance Solutions products help improve the life and efficiency of batteries, contributing to increased adoption of powertrain electrification.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demand for comfort products – We believe increased consumer demand for personalized comfort in a vehicle is driving increased adoption of our thermal and pneumatic comfort products. We are striving continuously to bring to market products and technologies that improve the well-being of vehicle occupants. From improved performance of our seat heating and cooling devices, to our introduction of the neck climate control system, heated surface products, and pulsating massage treatment – our focus is to make vehicle comfort an integral part of vehicle occupants' experience. The thermal and pneumatic comfort market is growing at a much faster pace than the automobile market and, in particular, OEM customers are seeking the combined thermal and pneumatic lumbar product. Given this trend we expect to see a much higher rate of adoption of our products into vehicles, and we are poised to take advantage of that through the leveraging of Gentherm’s strong customer relationships to introduce Alfmeier’s industry leading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of connected/smart devices – One of the most important objectives in achieving comfort is to create a system that is able to sense the needs of vehicle occupants and make performance adjustments based on personalized needs. We utilize machine learning to create and optimize state of the art algorithms to make our products smarter and more advanced with each generation.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Focus on health and wellness – Consumers have an increased focus on personal health and wellness and trends are shifting towards consumers using their vehicles as a third living space, outside the home or office. Our technologies are at the nexus of health, wellness and comfort, where our solutions adjust to enable vehicle occupants to address their health and wellness needs, including the recently introduced WellSense system.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Emergence of shared mobility – As the world transitions from vehicle ownership to mobility as a service model, our focus on individual personalized comfort becomes even more important. Our focus is to create microclimate solutions, in which each vehicle occupant can create a personalized thermal experience tailored to individual needs.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Production and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global manufacturing and distribution facilities are located close to our key customers and strategically in low cost regions. In Automotive, we operate four manufacturing sites in Europe located within North Macedonia, Ukraine, Germany and Czech Republic and one distribution center located in Hungary. In North America, we operate three manufacturing sites in Mexico and one manufacturing site in the United States. In Asia, we operate three manufacturing sites in China and one in Vietnam, and one distribution center in South Korea. Further, we are in the process of expanding our footprint with investments in two new manufacturing plants, one in Morocco and one in Monterrey, Mexico. See Note 5, “Restructuring and Impairments” to the consolidated financial statements included in this Annual Report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Medical, we operate three manufacturing sites within China, Germany and the 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procure our raw materials from a variety of suppliers around the world. In the normal course of business, we do not carry substantial inventories of these raw materials in excess of levels reasonably required to meet our near-term production requirements.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2023, the automotive industry continued to experience inflationary pressures with respect to raw materials, labor, and associated freight costs as a result of a supply-constrained environment and general economic conditions. In response to the inflationary cost increases, the Company has taken several actions to reduce any potential and actual adverse impacts by working closely with its suppliers and customers to mitigate the impact of these inflationary pressures in the future. While these actions are designed to offset the impact of inflationary pressures, we expect to have a continued adverse impact on our business and financial performance for the foreseeable future. Accordingly, the significance of the future adverse impact on our business and financial statements remains subject to significant uncertainty.</w:t>
      </w:r>
    </w:p>
    <w:p>
      <w:pPr>
        <w:pStyle w:val="TextBody"/>
        <w:bidi w:val="0"/>
        <w:spacing w:before="240" w:after="283"/>
        <w:jc w:val="left"/>
        <w:rPr>
          <w:rFonts w:ascii="Times New Roman" w:hAnsi="Times New Roman"/>
          <w:sz w:val="20"/>
        </w:rPr>
      </w:pPr>
      <w:r>
        <w:rPr>
          <w:rFonts w:ascii="Times New Roman" w:hAnsi="Times New Roman"/>
          <w:b/>
          <w:color w:val="000000"/>
          <w:sz w:val="20"/>
        </w:rPr>
        <w:t>Proprietary Rights and Patents</w:t>
      </w:r>
      <w:r>
        <w:rPr>
          <w:rFonts w:ascii="Times New Roman" w:hAnsi="Times New Roman"/>
          <w:color w:val="FF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development of new or improved technologies is critical to the execution of our business strategy. Currently owned patents and patents obtained for new or improved technologies form an important basis for the success of the Company and underpin the success of our research and development efforts. We have adopted a policy of obtaining, where practical, the exclusive rights to use technology related to our products through patents or licenses for proprietary technologies or processes. We adapt and commercialize such technologies in products for mass production. We also have developed technologies or furthered the development of acquired technologies through internal research and development efforts.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2023, Gentherm held 459 issued patents, of which 226 were U.S. patents and 233 were non-U.S. patents. Gentherm held 177 patents directed to climate control products and thermoelectric technologies (including 36 patents directed to ClimateSense®), 64 patents directed to battery cell connecting and cable technologies, 52 patents directed to massage and lumbar technologies, 31 patents directed to air moving devices, 28 patents directed to medical technologies, 48 patents directed to heating elements and technologies, 40 patents directed to occupant sensing technologies, 11 patents directed to fluid valve technologies, and 8 patents directed to electronics technologies. The Company continuously evaluates its patents and makes strategic decisions to reduce low-value patents and patents unrelated to current or planned business strategies, while still increasing patent use in-line with our current and planned business strategies.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Gentherm faces competition from other automotive suppliers and, with respect to certain products, from the OEMs and Tier 1s who manufacture or have the capability to manufacture certain products that Gentherm manufactures and supplies. The automotive supply industry competes on the basis of technology, quality, reliability of supply, design, engineering capability and competitive pricing. Although the overall number of our automotive competitors has decreased in recent years due to ongoing industry consolidation, the automotive technology and components industry remains extremely competitive. The competitive landscape for patient temperature management systems includes patient thermal management medical device manufactures.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our expertise in core thermal management and pneumatic comfort technologies, as well as our capability in applying specific component design, global footprint and broad product offerings, make us well positioned to compete against the traditional thermal management systems and pneumatic comfort suppliers, global Tier 1s and component specialists. OEM customers are expressing a desire for a combined thermal and pneumatic lumbar product, especially from an independent supplier who integrates with many seating providers. This is one of the unique value propositions that Gentherm offers.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further discussion of the risks relating to competition in Item 1A, “Risk Factors” in this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operations are directly related to the automotive industry. Consequently, we have historically experienced seasonal fluctuations to the extent automotive vehicle production slows, such as in the summer months when many customer plants close for model year changeovers and in December when many customer plants close for the holidays.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Employees</w:t>
      </w:r>
    </w:p>
    <w:p>
      <w:pPr>
        <w:pStyle w:val="TextBody"/>
        <w:bidi w:val="0"/>
        <w:spacing w:before="120" w:after="283"/>
        <w:jc w:val="left"/>
        <w:rPr>
          <w:rFonts w:ascii="Times New Roman" w:hAnsi="Times New Roman"/>
          <w:sz w:val="20"/>
        </w:rPr>
      </w:pPr>
      <w:r>
        <w:rPr>
          <w:rFonts w:ascii="Times New Roman" w:hAnsi="Times New Roman"/>
          <w:color w:val="000000"/>
          <w:sz w:val="20"/>
        </w:rPr>
        <w:t>At Gentherm, our mission is to “</w:t>
      </w:r>
      <w:r>
        <w:rPr>
          <w:rFonts w:ascii="Times New Roman" w:hAnsi="Times New Roman"/>
          <w:i/>
          <w:color w:val="000000"/>
          <w:sz w:val="20"/>
        </w:rPr>
        <w:t>create and deliver extraordinary thermal solutions that make meaningful differences in everyday life, by improving health, wellness, comfort and energy efficiency</w:t>
      </w:r>
      <w:r>
        <w:rPr>
          <w:rFonts w:ascii="Times New Roman" w:hAnsi="Times New Roman"/>
          <w:color w:val="000000"/>
          <w:sz w:val="20"/>
        </w:rPr>
        <w:t xml:space="preserve">.” Our people are the foundation for making our mission come to life every day. Our human capital strategy is focused on creating the right working environment and the right skillsets to advance our performance culture and support our growth strategy. Our goals are to inspire our people to achieve their aspirations and achieve strong business results. We also strive to promote a safe work environment and a culture that values diversity, equity, inclusion and belonging.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Board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its Committees provide oversight on a broad range of human capital management topics, including corporate culture, DEI&amp;B, pay equity, health and safety, training and development and total rewards.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People Demographics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global workforce creates a competitive advantage and operates in more than 30 locations across 13 countries. As of December 31, 2023, and 2022, Gentherm’s employment levels worldwide were as follows:</w:t>
      </w:r>
    </w:p>
    <w:tbl>
      <w:tblPr>
        <w:tblW w:w="3819" w:type="dxa"/>
        <w:jc w:val="left"/>
        <w:tblInd w:w="0" w:type="dxa"/>
        <w:tblLayout w:type="fixed"/>
        <w:tblCellMar>
          <w:top w:w="28" w:type="dxa"/>
          <w:left w:w="28" w:type="dxa"/>
          <w:bottom w:w="28" w:type="dxa"/>
          <w:right w:w="28" w:type="dxa"/>
        </w:tblCellMar>
      </w:tblPr>
      <w:tblGrid>
        <w:gridCol w:w="1546"/>
        <w:gridCol w:w="146"/>
        <w:gridCol w:w="146"/>
        <w:gridCol w:w="676"/>
        <w:gridCol w:w="146"/>
        <w:gridCol w:w="146"/>
        <w:gridCol w:w="146"/>
        <w:gridCol w:w="67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Macedonia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Ukraine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Notable statistics as of December 31,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 of our workforce resides in North America; 39% of our workforce resides in Europe; and 22% of our workforce resides in Asia.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cooperative relationships in our facilities where we operate with unions and workers councils. Approximately 33% of the Company's workforce are members of industrial trade unions or works councils and are employed under the terms of various labor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Three of nine Board members are female and one is African American. Four of ten executive committee members are female and two are ethnically diverse.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57% of our global workforce is female.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experienced a 3.6% growth of diversity representation (global females and minorities in the U.S.) for our global Director and VP population of Legacy Gentherm</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Within the United States, over 37% of our employees self-disclose as racially or ethnically diverse. </w:t>
      </w:r>
    </w:p>
    <w:tbl>
      <w:tblPr>
        <w:tblW w:w="5742" w:type="dxa"/>
        <w:jc w:val="left"/>
        <w:tblInd w:w="0" w:type="dxa"/>
        <w:tblLayout w:type="fixed"/>
        <w:tblCellMar>
          <w:top w:w="28" w:type="dxa"/>
          <w:left w:w="28" w:type="dxa"/>
          <w:bottom w:w="28" w:type="dxa"/>
          <w:right w:w="28" w:type="dxa"/>
        </w:tblCellMar>
      </w:tblPr>
      <w:tblGrid>
        <w:gridCol w:w="3931"/>
        <w:gridCol w:w="146"/>
        <w:gridCol w:w="147"/>
        <w:gridCol w:w="319"/>
        <w:gridCol w:w="271"/>
        <w:gridCol w:w="146"/>
        <w:gridCol w:w="147"/>
        <w:gridCol w:w="319"/>
        <w:gridCol w:w="3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Racially and Ethnically Diverse (Self-reported)</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All Employees</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Leadership</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Key Highlights of our Human Capital Strategy</w:t>
      </w:r>
    </w:p>
    <w:p>
      <w:pPr>
        <w:pStyle w:val="TextBody"/>
        <w:bidi w:val="0"/>
        <w:spacing w:before="120" w:after="283"/>
        <w:jc w:val="left"/>
        <w:rPr>
          <w:rFonts w:ascii="Times New Roman" w:hAnsi="Times New Roman"/>
          <w:sz w:val="20"/>
        </w:rPr>
      </w:pPr>
      <w:r>
        <w:rPr>
          <w:rFonts w:ascii="Times New Roman" w:hAnsi="Times New Roman"/>
          <w:color w:val="000000"/>
          <w:sz w:val="22"/>
        </w:rPr>
        <w:t>I</w:t>
      </w:r>
      <w:r>
        <w:rPr>
          <w:rFonts w:ascii="Times New Roman" w:hAnsi="Times New Roman"/>
          <w:color w:val="000000"/>
          <w:sz w:val="20"/>
        </w:rPr>
        <w:t>n November 2023, we completed our second global engagement survey with a rate of 89%, inclusive of employees from our Alfmeier and Dacheng acquisitions for the first time. In 2024, we will develop leader driven action plans to build on momentum made from our engagement surveys. In recent years we have made progress in performance management, manager relationship and growth and development for our employees.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Health and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Gentherm, our “Safety Culture” has become a core strength. Our Vision Zero strategy helped us achieve significant progress in reducing accidents across our sites.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Diversity, Equity, Inclusion and Belonging (DEI&amp;B)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DEI&amp;B mission “Embracing Diversity Inspires Innovation” cascades from our corporate mission. Our Diversity, Equity, Inclusion &amp; Belonging Council has built strong momentum. We took another step forward on our DEI&amp;B journey with scaling our inclusion training globally, joining the GM Supplier Inclusion Board and improving the diversity of our workforce by over 3%. We also held several sessions to educate our employees on unconscious bias. Our goals are ensuring all team members are educated to consistent standards, identifying feedback mechanisms to solve conflicts, and creating a culture of belonging.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Total Rewards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Gentherm’s compensation and benefits programs are designed to attract and retain our employees in the locations where we compete for talent using a mix of elements that allow us to achieve our Company’s short and long-term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employee wages that are competitive and consistent with employee positions, skill levels, experience, knowledge and geographic location.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align our executives’ and eligible employees’ annual bonus opportunity and long-term equity compensation with our shareholders’ interests by linking realizable pay with company financial and stock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refreshed our overall compensation structure to ensure we are providing contemporary and equitable total rewards across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completed a global pay equity study as part of our efforts to ensure fairness with respect to employee pay. The study found minimal pay gaps between groups of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Total Talent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Gentherm, we provide foundational leadership development programs to ensure our current and future people leaders are well equipped to engage and lead in today’s complex business environment. We have offered additional training programs to provide on-demand, flexible learning solutions for our global workforce. We continue to invest in our Accelerator program for high potential employee development to retain our future leaders. In 2023, our workforce completed over 500,000 hours of training with our employees.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 Social, and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issued our annual sustainability report and continued to incorporate sustainability into our everyday business operations and future strategies. Our sustainability efforts are based on three pillars: People, Planet, and Places.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People: Our leaders prioritize a culture of respect and a secure workplace for our employees. We offer career growth opportunities, professional development, support, and much more. We firmly believe that our people are the cornerstone of our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Planet: We are committed to reducing our environmental footprint. Our product lineup features innovative solutions that lower the environmental impact of automobiles. We enhance our operations by focusing on optimizing resource usage and reducing emissions for a more sustainable future. As part of this pillar, we also focus on our products – what materials go into them, what are the impacts of our products, both upstream and downstream, and even how our products are dealt with at the end of their useful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Places: As a global company, we aim to make a positive impact in our local communities. Our teams contribute to causes like STEM education, provide financial support to local charities, and engage in community initiatives tailored to local needs and culture. Types of community involvement and support vary across our sites, based on local needs, requirements, and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actions indicate the strength of our commitment to sustainability across Gentherm.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 and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laws and regulations, and significant changes to such laws and regulations, will potentially lead to increases in costs and complexity, and failure to comply with global and specific country regulations could subject us to civil penalties, production disruptions, or limitations on the sale of affected products. We believe we are materially in compliance with substantially all these requirements or expect to be materially in compliance by the required 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Chemical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numerous global laws and regulations that prohibit or restrict the selection and use of certain chemicals for product development and manufacturing and potentially impact an automobile manufacturer’s responsibility for vehicle components at the end of a vehicle’s life. New chemical regulations continue to be introduced and passed, such as the new European requirements that require suppliers of parts and vehicles to the European market to disclose certain substances of concern in parts. Further, increases in the use of circuit boards and other electronics may require additional assessment under the directives related to certain hazardous substances and waste from electrical and electronic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Vehicle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the National Traffic and Motor Vehicle Safety Act of 1966 (the “Safety Act”) regulates motor vehicle equipment that we manufacture and sell as well as vehicles. The Safety Act prohibits the sale in the United States of any new vehicle or equipment that does not conform to applicable federal motor vehicle safety standards established by the National Highway Traffic Safety Administration (“NHTSA”). The Safety Act further requires that if a vehicle manufacturer or NHTSA determine a vehicle or an item of vehicle equipment does not comply with a safety standard, or that vehicle or equipment contains a defect that poses an unreasonable safety risk, the vehicle manufacturer must conduct a safety recall to remedy that condition in the affected vehicles. Should a vehicle manufacturer or NHTSA determine a safety defect or noncompliance issue exists with respect to any of our products, the cost of such recall campaigns could be substantial. Further, many other countries have established vehicle and vehicle equipment safety standards and regulations. Meeting or exceeding the many safety standards is costly as global compliance and non-governmental assessment requirements continue to evolve and grow more complex, and lack harmonization globally.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_1a"/>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each of the risks, assumptions, uncertainties and other factors described below and elsewhere in this Annual Report, as well as any amendments or updates reflected in subsequent filings or furnishings with the SEC. We believe these risks, assumptions, uncertainties and other factors, individually or in the aggregate, could cause our actual results to differ materially from expected and historical results and could materially and adversely affect our business operations, results of operations, financial condition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Industry and Operational Risks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automotive industry, our primary market, is cyclical and is significantly impacted by macroeconomic, geopolitical and similar global factors, and a decline in the production levels of our major customers and OEMs, particularly with respect to models for which we supply significant amounts of product,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Automotive segment represents 97%, 96% and 96% of our product revenues for the years ended December 31, 2023, 2022 and 2021, respectively. Demand for our automotive products is directly related to automotive vehicle production, which is ultimately dependent on consumer demand for automotive vehicles, our content per vehicle, and other factors that may limit or otherwise impact production by us, our supply chain and our customers. Automotive sales and production are cyclical and are materially affected by macroeconomic, geopolitical and industry conditions that are outside of our control and the control of our customers and suppliers. These conditions include monetary fiscal policy, economic recessions, inflation, political instability, labor relations issues, energy prices, regulatory requirements, government initiatives, trade restrictions and agreements, capital and liquidity constraints, ongoing geopolitical conflicts, acts or war and terrorism, and natural and man-made disasters, such as the current conflicts between Russia and Ukraine, and between Israel and Hamas, heightened tensions in the Red Sea, and potential tensions in the South China Sea. We, like other manufacturers, have a high proportion of fixed structural costs, and therefore relatively small changes in industry vehicle production can have a substantial effect on our financial results. If industry vehicle sales were to decline to levels significantly below our planning assumption, the decline could have a substantial adverse effect on our financial condition, results of operations, and cash flow. Our operational costs are similarly impacted by such macroeconomic, geopolitical and industry conditions, which has and may continue to adversely impact our margins and profitability.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We operate in a highly competitive industry and efforts by our competitors, as well as new non-traditional entrants to the industry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automotive component supply industry is subject to intense competition. Business is typically awarded to the supplier offering the most favorable combination of cost, quality, timely delivery, technological innovation and service. There can be no assurance that we will be able to compete successfully with the products of our competitors. Further, our competitors’ efforts to grow market share could exert downward pressure on our product pricing and margins. Many of our competitors and potential competitors are substantially larger in size and have substantially greater financial, marketing and other resources than we do, and therefore may be more effective in adapting to customer requirements while being more profitable. In addition, Lear has confirmed its intent to, and other of our customers may, increase levels of production insourcing and compete directly with us for a variety of reasons, such as shifts in business strategies or the emergence of low-cost production opportunities in other countries, which may adversely affect our sales as well as the profit margins on our products. Further, we are experiencing increased competition from Chinese-based component suppliers that are developing relationships with Chinese-based OEMs, which are growing market share in China and may expand in global markets.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inability to effectively manage the development, timing, quality and costs of new product launches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Gentherm continues to invest significantly in developing and launching new products and related technologies, including software, through internal research and development, and from acquisitions and investments in joint ventures. Further, winning new business awards will include specific customer requirements regarding, among other things, timing, performance and quality standards. The launch of new products and technologies is complex, the success of which depends on a wide range of factors, including the capacity of our internal teams, robustness of our product and manufacturing process development, success in sourcing new components and commodities with suitable suppliers, readiness of our and our suppliers' manufacturing facilities and manufacturing processes, as well as factors related to tooling, equipment, employees, initial product quality and other factors.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launches have become more frequent and even more complicated given the increased use of advanced electronics that must be integrated throughout a vehicle. Given the complexity of new product and technology launches, we may experience difficulties managing product quality, timeliness and associated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designing and developing new technology, products and services is costly and uncertain and requires extensive capital investment. In addition, new program launches require a significant ramp up of costs up to a few years prior to sales of such products. However, our sales related to these new programs generally are dependent upon the timing and success of our customers’ introduction of new vehicles. Our inability to effectively manage the timing, quality and costs of these new program launches could have a materially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we are not able to successfully launch new business, or if we are unable to prevent or effectively remedy errors, bugs, vulnerabilities or defects in our new products and technologies, vehicle production at our customers could be significantly delayed or shut down. Such operating failures could result in significant financial penalties to us or a diversion of personnel and financial resources to improving or fixing launches rather than investment in continuous process improvement or other growth initiatives, and could result in our customers shifting work away from us to a competitor. Any of the foregoing matters could result in a significant loss of revenue and market share and could have an adverse effect on our profitability and cash flows.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ability to market our products successfully depends on acceptance of our products by existing and potential customers and consumers, as well as the success of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and will continue to be, required to educate potential customers and demonstrate that the merits of our existing products justify the costs associated with them. Similar and enhanced efforts will be required with existing and potential customers for additional products and technologies we develop, acquire or license. Customers will only adopt our products if there appears to be consumer demand. Further, some of our new technologies and products require OEMs to adopt new ways of developing climate control systems for vehicle interiors, and some OEMs may be slow to adopt or may never adopt such technologies and products. For our automotive products, we rely on OEMs and applicable dealer networks to market our products to consumers, and we do not have any control over the marketing budget or messaging nor the training of employees and agents regarding our products. Further, OEMs and dealer networks may market products offered by our competitors, including products manufactured by such OEMs. If customers or consumers conclude that our automotive products are unnecessary or too expensive or that our competitors offer more favorable sales terms or better products, OEMs and other customers may reduce availability or decline to include our products in their vehicles.</w:t>
      </w:r>
    </w:p>
    <w:p>
      <w:pPr>
        <w:pStyle w:val="TextBody"/>
        <w:bidi w:val="0"/>
        <w:spacing w:before="240" w:after="120"/>
        <w:jc w:val="left"/>
        <w:rPr>
          <w:rFonts w:ascii="Times New Roman" w:hAnsi="Times New Roman"/>
          <w:sz w:val="20"/>
        </w:rPr>
      </w:pPr>
      <w:r>
        <w:rPr>
          <w:rFonts w:ascii="Times New Roman" w:hAnsi="Times New Roman"/>
          <w:i/>
          <w:color w:val="000000"/>
          <w:sz w:val="20"/>
        </w:rPr>
        <w:t>There is ongoing significant competition to address the fast evolution of the automotive industry, including development and use of electric vehicles, autonomous vehicles and mobility on demand services and related software products, and our failure to adapt our strategies and operations successfully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automotive industry is experiencing a period of significant technological change, and we are making significant investments to develop, acquire and properly scale the manufacturing of technologies and products that will enhance our competitiveness. Future automotive vehicle production is expected to be affected significantly by additional industry or consumer behaviors, including the development and use of autonomous and electric vehicles and increasing use of car and ridesharing and on-demand transportation as a service and related software products, as well as complex new regulations. Our future success is dependent on our ability to execute our long-term strategies addressing the evolution of the automotive industry and customer utilization of personal transportation. The rapidly evolving nature of the markets in which we compete has attracted, and may continue to attract, new entrants, including new entrants from outside the traditional automotive supply industry. Further, in comparison to us, our competitors may foresee the course of market developments and customer preferences more accurately, develop superior products and technologies, produce similar products at a lower cost, or adapt quicker to new industry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common in periods of rapid technological change, recently there has been lower-than-anticipated industrywide electric vehicle adoption rates and near-term pricing pressures, which has led many OEMs and the automotive component supply industry to adjust spending, production, and/or product launches to better match the pace of such adoption. In addition, there have been certain technology barriers that are detrimental to electric vehicles reaching pricing parity with ICE vehicles. Future electric vehicle adoption may also be impacted by, among other factors: perceptions about EV features, quality, safety, performance and cost relative to ICE vehicles; the range over which EVs may be driven on a given battery charge; the proliferation and speed of charging infrastructure; cost and availability of high fuel-economy ICE vehicles; volatility, or a sustained decrease, in the cost of petroleum-based fuel;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by governments and other third parties to make the investments necessary to make infrastructure improvements or to provide economic incentives promoting the adoption of EVs.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prepare for and respond to new kinds of technological innovations, market developments and changing customer needs or if OEMs significantly lower production of EVs or change the mix of EV and ICE production, our long-term competitiveness could be harmed significantly and our business, results of operations and financial condition could be materially and adversely impacted.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global automotive supply chain has been adversely impacted by raw material and component shortages, manufacturing disruptions and delays, logistics challenges and inflationary and other cost pressures, and we expect such conditions to continue to adversely affect our business, profitability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contain a significant number of components that we source globally from suppliers who, in turn, source components from their global suppliers. The availability of raw materials and product components fluctuates due to factors outside of our control, including supply and demand imbalances, geopolitical and macroeconomic factors, labor disruptions or shortages, trade laws and tariffs, natural disasters, and global pandemics, which has and we expect will continue to impact the ability of our supply chain to meet our production requirements and therefore our ability to meet the production demands of our customers. In some instances, we purchase components, raw materials and parts that are ultimately derived from a single source and may be at an increased risk for supply disruptions. If our supply chain fails to deliver products to us in sufficient quality and quantity on a timely basis, we will be challenged to meet our production schedules and fulfill our orders due to the “just-in-time” manufacturing process that is broadly utilized in our industry, which would decrease sales and profits and could damage our commercial reputation and customer relationships. Furthermore, sudden changes in the production schedules of OEMs and Tier 1s caused by raw material and component shortages also have resulted and may continue to result in operating inefficiencies, which could adversely affect our profitability and results of operations. Additionally, if we are the primary cause for a customer being forced to halt production, the customer may seek to recoup all of its losses and expenses from the Company. Similarly, OEMs and Tier 1s to whom we supply our products are dependent on an ever-greater number of global suppliers to manufacture and sell their products to consumers, which drives sales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experienced and we may continue to experience margin pressure due to the pricing of components and certain other raw materials, including due to inflation or supply-demand imbalances. Some of our products contain certain components, such as semiconductor chips, and other key raw materials including copper, silver and petroleum-based engineered plastics and raw materials, which generally cannot be substituted. The prices for these components and raw materials fluctuate depending on market conditions. The automotive industry has seen a period of sustained price increases for commodities, primarily related to steel, and to a lesser extent petrochemicals. If the market prices and related logistics costs (in particular for imported goods) for these components and raw materials remain higher than normal or they further increase, our gross profit may continue to be adversely impacted, including to the extent our suppliers pass cost increases on to us that we cannot pass on in full to our customers in spite of our mitigation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customers, and our respective supply chains, have operated in a supply-constrained environment for more than two years and are continuing to manage through, although to a lesser degree, raw material and component shortages (including recently from a significant shortage of semiconductors), manufacturing disruptions and delays, logistics challenges and inflationary and other operational challenges and costs pressures. More recently, our supply chain transportation has been adversely impacted by conflicts in the Middle East and heightened tensions in the Red Sea and South China Sea as well as shipping company consolidation, in particular since we have shifted significant manufacturing production around the world as part of our manufacturing rationalization strategy. The foregoing challenges have adversely affected, and is expected to continue to adversely effect, our business, profitability, cash flow and results of operations. </w:t>
      </w:r>
    </w:p>
    <w:p>
      <w:pPr>
        <w:pStyle w:val="TextBody"/>
        <w:bidi w:val="0"/>
        <w:spacing w:before="240" w:after="120"/>
        <w:jc w:val="left"/>
        <w:rPr>
          <w:rFonts w:ascii="Times New Roman" w:hAnsi="Times New Roman"/>
          <w:sz w:val="20"/>
        </w:rPr>
      </w:pPr>
      <w:r>
        <w:rPr>
          <w:rFonts w:ascii="Times New Roman" w:hAnsi="Times New Roman"/>
          <w:i/>
          <w:color w:val="000000"/>
          <w:sz w:val="20"/>
        </w:rPr>
        <w:t>Our ability to attract and retain talented, diverse and highly skilled employees is critical to our success and competitiveness, and attracting and retaining such employees has caused and could continue to cause an increase in labor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our ability to recruit and retain talented and diverse employees who are highly skilled in their areas. In particular, our technologies and products increasingly rely on software and hardware that is highly technical and complex and the market for highly skilled workers and leaders in our industry is extremely competitive and costly. While compensation considerations remain important, current and potential employees are increasingly placing a premium on working for companies with strong brand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reputation, flexible work arrangements, and other considerations, such as embracing sustainability and diversity, equity, and inclusion initiatives</w:t>
      </w:r>
      <w:r>
        <w:rPr>
          <w:rFonts w:ascii="Times New Roman" w:hAnsi="Times New Roman"/>
          <w:i/>
          <w:color w:val="000000"/>
          <w:sz w:val="20"/>
        </w:rPr>
        <w:t xml:space="preserve">. </w:t>
      </w:r>
      <w:r>
        <w:rPr>
          <w:rFonts w:ascii="Times New Roman" w:hAnsi="Times New Roman"/>
          <w:color w:val="000000"/>
          <w:sz w:val="20"/>
        </w:rPr>
        <w:t xml:space="preserve">The difficulty of attracting, hiring, developing, motivating and retaining highly qualified and diverse employees throughout our Company has caused and could continue to cause increases in the cost of labor due to wage inflation. Failure to continue attracting and retaining such highly qualified and diverse employees could further increase labor costs, disrupt our operations and adversely affect our strategic plans. Further, prolonged labor shortages that we have experienced and may continue to experience can adversely impact existing employees, which enhances the challenges of retention and labor expense.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Labor shortages, work stoppages and additional workforce disruptions impacting us, our suppliers or customers periodically have disrupted our operations and our growth strategies, and resulting increases in labor and related operating costs may adversely impact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 shortages, work stoppages and additional workforce disruptions due to illness, quarantines and absenteeism, including ours and those at our suppliers or customers, periodically have disrupted our business and adversely impacted our financial performance. Because the automotive industry relies heavily on “just-in-time” delivery of components, labor shortages or work stoppages at one or more of Gentherm's production facilities or those of our suppliers could have adverse effects on the business and financial results. Similarly, the purchase of our products may be limited if one or more of our direct customers or an OEM were to experience labor shortages or work stoppages, such as what occurred during the General Motors labor strike occurring in the Fall of 2023 or the prolonged work stoppages that occurred in the first half of 2020 as a result of the COVID-19 pandemic, which could result in the temporary shutdown of the related Gentherm production facilities or other restructuring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33% of the Company's workforce are members of industrial trade unions and we believe a significant percentage of employees of our largest customers and suppliers are members of industrial trade unions, all of whom are employed under the terms of various labor agreements. A union strike or inability to enter into a new labor agreement prior to expiration of an existing agreement could have an adverse impact on us or our suppliers or customers. </w:t>
      </w:r>
    </w:p>
    <w:p>
      <w:pPr>
        <w:pStyle w:val="TextBody"/>
        <w:bidi w:val="0"/>
        <w:spacing w:before="240" w:after="120"/>
        <w:jc w:val="left"/>
        <w:rPr>
          <w:rFonts w:ascii="Times New Roman" w:hAnsi="Times New Roman"/>
          <w:sz w:val="20"/>
        </w:rPr>
      </w:pPr>
      <w:r>
        <w:rPr>
          <w:rFonts w:ascii="Times New Roman" w:hAnsi="Times New Roman"/>
          <w:i/>
          <w:color w:val="000000"/>
          <w:sz w:val="20"/>
        </w:rPr>
        <w:t>Inflationary pressures impacting our transportation companies and other third parties have increased our costs to deliver our products, and therefore adversely impacted our margins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automotive industry has experienced a period of sustained price increases for various transportation and other logistics services. These price increases are expected to continue into the foreseeable future due to continuing challenges with supply-demand imbalances. Although the Company has developed and implemented strategies to mitigate the impact of higher transportation and other logistics costs, these strategies, together with commercial negotiations with Gentherm's customers and suppliers, have not historically and may not in the future fully offset our price increases, which may result in adverse impacts to the Company’s profitability and results of operations. We generally have been unable to raise prices to address in full the foregoing inflationary pricing pressures, together with price downs for our products that are customary in our industry, and therefore our margins and profitability have been and may continue to be adversely impacted.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If we fail to manage our growth effectively or to integrate successfully any new or future business ventures, acquisitions, investments or strategic alliance into our business, including our recent acquisitions, or realize the benefits from divestitures or business exits, our business and financial performance could be materially adversely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consider opportunities to pursue business ventures, acquisitions, investments and strategic alliances that could leverage our products, technologies and capabilities, as well as, enhance our customer base, geographic penetration and scale, to complement our current businesses, some of which could be material. We completed two acquisitions in 2022, Alfmeier and Dacheng, and we have completed other acquisitions and investments in recent years. Finding and assessing a potential growth opportunity and completing a transaction involves extensive due diligence, management time and expense; however, the amount of information we can obtain about a potential growth opportunity may be limited, and we may not be able to identify suitable candidates, negotiate appropriate terms, obtain financing on acceptable terms, complete proposed acquisitions, or expand into new geographies or markets. Further, we can give no assurance that new business ventures, acquisitions, investments and strategic alliances will positively affect our financial performance or will perform as planned, including regarding anticipated synergies or other financial or operational benefits. For significant transactions, we would expect to incur additional debt, issue equity and/or increase capital expenditures, which may increase leverage risks, result in dilution or reduce capital available for other investments in ongoing operations. If we fail to identify and complete suitable acquisition and investment opportunities in a timely and successful manner, our business, growth strategy reputation and results of operations could be materially impacted.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success of our acquisitions is dependent, in part, on our ability to realize the expected benefits from the integration of the acquired businesses or assets. We may incur an unexpected amount of liabilities or make incorrect estimates regarding the planned accounting for acquisitions, such as the need to record non-recurring charges or write-off of significant amounts of goodwill or other assets that could adversely affect our results of operations, and we could have unexpected challenges due to the limitations of our due diligence process or contractual provisions. Further, the integration of acquired businesses is a complex, costly and time-consuming process that requires significant management attention and resources. It is possible that the integration process could result in the loss of key employees, the disruption of our operations, the inability to maintain or increase its competitive presence, inconsistencies in and incompatibility of information technology and accounting systems, as well as other compliance standards, controls, procedures and policies, difficulties in achieving anticipated cost savings, synergies, business opportunities and growth prospects from the acquisition, additional litigation, compliance or regulatory risk, the diversion of management’s attention to integration matters and difficulties in the assimilation of employees and corporate cultures, especially if the acquisition involves a business, supply chain or operations in one or more countries in which we have a limited history and lack of experience. Any or all of these factors and our increased debt leverage following the closing of any significant transaction, such as the acquisition of Alfmeier, could have an adverse effect on our business and financial performance. In addition, many of these factors are outside of our control, and any one of these factors could result in increased costs, decreases in the amount of expected revenues and additional diversion of management’s time and energy, which could materially adversely impact our business, financial condition and results of operations. Likewise, our failure to integrate and manage acquired companies successfully may lead to reduced profitability and future impairment of any associated goodwill and intangible asset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also evaluate opportunities to divest or shut-down non-core businesses and assets, and the Company may consider strategic dispositions and shut-downs in the future. However, we may not achieve some or all of the targeted benefits we originally anticipated at the time of disposition or shut-down, we may continue to retain material liabilities by contract or applicable law, and we may incur impairment charges. For example, on December 31, 2022, the Company approved a plan to exit its non-automotive electronics business, and the Company has since recorded non-cash impairment charges of $15.5 million, $5.6 million and $0.7 million for write-downs of inventory, intangible assets, and property and equipment, respectively. Further, for dispositions, we may need to provide material transition services following the transaction, any of which could have an adverse impact on our returns and our overall profitability.</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inability to achieve product cost reductions which offset customer-imposed price reductions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Downward pricing pressure is customarily applied by automotive manufacturers to the automotive supply chain. Our customer contracts generally provide for annual price reductions over the production life of the vehicle, while requiring us to assume significant responsibility for the design, development and engineering of our products, as well as the costs incurred through our supply chain. Prices may also be adjusted on an ongoing basis to reflect changes in product content/costs and other commercial factors. Our inability to achieve product cost reductions that offset customer-imposed price reductions could adversely affect our financial condition, results of operations and cash flows.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Security breaches and other disruptions to our information technology networks and systems, including a disruption related to cybersecurity, could interfere with our operations and could compromise the confidentiality of our proprietary information or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our information technology, communication networks, enterprise applications, accounting and financial reporting platforms and related systems in connection with many of our business activities. Some of these networks and systems are managed by third-party service providers and are not under our direct control. Our operations routinely involve receiving, storing, processing and transmitting sensitive information pertaining to our business, customers, suppliers, employees and other sensitive matters. We rely upon the capacity, reliability and security of our IT and data security infrastructure, as well as our ability to expand and continually update this infrastructure in response to the changing needs of our business. If we experience a problem with the functioning of an important IT system or a security breach of our IT systems, due to failure to timely upgrade systems or during system upgrades and/or new system implementations, or resulting from failures of our third-party service providers, the resulting disruptions could have an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with most companies, we have experienced cybersecurity incidents, attempts to breach our systems and other similar incidents, none of which were material in 2023. With more of our employees working part-time remotely and in periods of significant acquisition integration activity, there may be increased opportunities for unauthorized access and 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cybersecurity incidents could, however: materially disrupt operational systems; result in loss of trade secrets or other proprietary or competitively sensitive information; compromise personally identifiable information regarding customers or employees; delay our ability to deliver products to customers; and jeopardize the security of our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“ransomware” and other cybersecurity incidents, are increasing in frequency, diversity and sophistication, which may cause cybersecurity incidents to be more difficult to detect for periods of time. Many victims of ransomware are forced to pay significant ransoms to regain access to their critical business data, and we may not be permitted under various regulations and laws to make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continuously seek to maintain a robust program of information security and controls that we believe is designed to detect, reduce, and mitigate the risk of cybersecurity incidents; however, we may not be aware of all vulnerabilities or might not accurately assess the risks of incidents, and such preventative measures cannot provide absolute security and may not be sufficient in all circumstances or mitigate all potential risks, including potential production disruption or the loss or disclosure of sensitive information. The impact of a material cybersecurity incident could subject us to legal or regulatory sanctions and have a material adverse effect on our competitive position, reputation, results of operations, financial condition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systems and our proprietary, strategic or competitive data, which we review for quality and effectiveness on a regular basis, but despite our implementation of security processes, our IT systems, like those of other companies, are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 these systems and other similar disruptions. Any system failure, accident or security breach could result in disruptions to our operations and include the theft of our intellectual property, trade secrets, customer information, human resources information or other confidential information. The foregoing matters could cause significant damage to our reputation, affect our relationships with its customers, lead to claims against us, fines and other penalties assessed upon us by governmental authorities, and ultimately harm our business and financial performance. In addition, we may be required to incur significant costs to remediate and protect against damage caused by these disruptions or security breaches in the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operations within Ukraine subject us to risks that may harm our operations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conflict between Russia and Ukraine and certain measures taken in response have impacted the availability and prices of certain raw materials and energy (especially in Europe) and have led to various economic sanctions, which could have a lasting impact on regional and global economies. Our facility in Vynohradiv is on the far western corner within the Transcarpathia region of Ukraine near the Hungary border. In 2023, products manufactured at our Ukraine facility represented approximately 6% of the Company’s total revenue, including automotive cables, seat heaters and steering wheel heaters, compared to 8% in 2022. At this time, our Ukraine facility is operating at normal levels and we continue to execute contingency plans and, in coordination with certain customers, specific equipment and production relocations leveraging our flexible global manufacturing footprint. Certain of our employees in Ukraine are routinely conscripted into the military and/or sent to the Russian border to fight in the ongoing conflict. We have incurred, and will likely continue to incur costs to support our employees and relocate equipment and production based on customer and company needs. We have also experienced and may continue to experience interruptions in power supply at our Ukraine facility. We have contingency measures in place to address intermittent power supply interruptions, however, extended interruptions could significantly impact our ability to operate the facility. Further, most of our products manufactured in Ukraine are shipped across the border from Ukraine to Hungary for further delivery to our customers. If that border crossing were to be closed or restricted for any reason, we may experience a significant disruption to our operations. Our response to the ongoing conflict is based on a severity level contingency response plan that has been developed with certain customers. As the situation in Ukraine is very fluid, we continue to monitor its effects on our business and we continue to work closely with our customers to adjust our contingency response as necessary.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length and impact of the ongoing military conflict is highly unpredictable, the conflict in Ukraine has led to and could lead to further market disruptions, including significant volatility in the prices and availability of certain commodities and energy, volatility in credit and capital markets, interruptions in our supply chain, increased costs and reduced availability of labor, materials and components, result in impairment of tangible assets and implementation of restructuring activities, and may impair our ability to complete financial or banking transactions. Any of the foregoing factors could have a material adverse effect on our business, financial results and stock price.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material reduction in sales from any of our principal customers, due to acquisition activity, insolvency or otherwise, could materially and adversely affect our business, results of operations,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our top two customers were Lear and Adient, which comprised 15% and 13%, respectively, of our product revenues. Combined, approximately 66% of product revenues to these customers was sourced directly by the OEMs. Our products supplied to General Motors and Hyundai represented 13% and 10% of our total product revenues for the year ended December 31, 2023. The continued growth, viability and financial stability of our principal customers, as well as the OEMs to which our products are supplied, are critical to our success. The loss of any significant portion of our sales from either of these customers or other significant customers, whether due to acquisition activity, insolvency or otherwise, would have a material adverse effect on our business, results of operations, cash flows and financial condition. We sometimes experience, and we expect to continue to experience, a delay in our collection of accounts receivable balances from our customers, which may be significant and could be at risk in the event of their bankruptcy or other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any of our significant customers successfully insources products that we currently manufacture, whether by the acquisition of one of our competitors or otherwise, the discontinuation or loss of business as a result would have an adverse impact on our business and financial performance. For example, Lear acquired certain companies in 2023 that have competed with us historically and it announced its intent to insource more products and technologies in the future, and Lear may compete with us directly in the future. The impact of Lear’s acquisitions on our business with Lear, as well as with OEMs and other Tier 1s, is unknown and could adversely impact our financial condition, results of operations and cash flows.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global operations subject us to risks that may harm our operations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63% of our product revenue was generated from sales to customers outside the United States. We have significant personnel, property, equipment and operations in a number of countries outside of the United States, including China, Germany, Hungary, North Macedonia, Mexico, South Korea, Czech Republic, Ukraine and Vietnam and are investing in a manufacturing facility in Morocco. Our exposure to the risks described below is substantial. We also derive a significant portion of revenues from Europe and Asia and conduct certain investing and financing activities in local currencies.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general risks relating to our operations, our international operations are subject to unique risks inherent in doing business abroad,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local economic, political, social and labor practices and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complex and continuously changing local laws and regulations and enforcement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 leadership;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requirements of an increasing body of applicable anti-bribery and anti-corruption laws, including compliance by any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costs of and disruptions in international shipping related to global conflicts and environmental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duties, tariffs and taxation on our products related to U.S. trade disputes, trade restrictions, potential trade wars and other global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infectious disease and epidemics, including the effects on our business operations, and those of our customers and suppliers, in geographic locations impacted by an outbreak;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violence and civil unrest (including acts of terrorism, drug-cartel related and other forms of violence and outbreaks of war);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expropriation, nationalization or other protectionist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currency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local business and cultural factors that differ from our customary standards and practices;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withholding and other taxes on repatriated funds and other payments by subsidiaries;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cultural and linguistic differences;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or overseeing foreign operations and agents;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longer payment cycles;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credit risks;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of enforcing agreements, collecting receivables and protecting intellectual property and other assets through non-U.S. legal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our primary manufacturing locations are in Mexico, China, Vietnam, North Macedonia, Czech Republic and Ukraine, all countries that have historically experienced a heightened degree of political, civil and labor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Chinese-based OEMs are growing market share in global markets. However, continued U.S.-China trade tensions and weakening economic conditions, among other factors, may result in reduced sales, profitability and margins, increased operating costs and challenges to gaining or holding market share. Furthermore, certain risks and uncertainties of doing business in China are solely within the control of the Chinese government, including Chinese regulation of the scope of our business and investments in China, as well as our ability to provide cash to and repatriate cash from our business entities in China. In order to maintain access to the Chinese market, we may be required to comply with significant technical and other regulatory requirements that are unique to the Chinese market, at times with challenging lead times. These actions may increase the cost of doing business in China or limit how and under what conditions we may do business in China, which could materially and adversely affect our profitability and financial condition.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Our ongoing efforts to optimize our global supply chain could cause supply disruptions and be more costly, time-consuming and resource-intensive than expected.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efforts to optimize the efficiency of our global supply chain could cause supply disruptions and could be more expensive, time-consuming and resource-intensive than expected. Furthermore, certain of our suppliers have and others may decide to discontinue business with us or limit the allocation of products to us, or we may become too dependent on one or more suppliers, which could result in our inability to fill our supply needs and jeopardize our ability to fulfill our contractual obligations, which could in turn, result in a decrease in revenues and profitability, contract penalties or terminations, and damage to customer relationships.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We manage our business based on projected future sales volume, which is highly dependent on information received from customers and general market data, and any inaccuracies or changes in such information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manage our business based upon projected future sales volumes, which are based upon many factors, including awarded business and assumptions of conversion rates thereof, customers’ forecasts and general macroeconomic and industry market data. Our product revenues generally are based upon purchase orders issued by our customers, with updated production schedules for volume adjustments, and our customers generally do not guarantee sales volumes. As such, we typically do not have a backlog of firm orders at any point in time. In addition, awarded business may include business under arrangements that our customers have the right to terminate without penalty at any time. Further, our customers’ forecasts are subject to numerous assumptions, and such forecasts often are changed rapidly with limited notice. Therefore, our actual sales volumes, and thus the ultimate amount of revenue that we derive from such sales, are not committed. We also must incur costs and make commitments well in advance of the receipt of orders and resulting revenues from customers. If actual production orders from our customers are not consistent with our projected future sales volumes, especially for our higher-margin products, we could realize substantially less revenue and incur greater expenses over the life of vehicle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receipt of orders and resulting revenues from customers is significantly affected by global automotive production levels. Recent macroeconomic, geopolitical and industry factors noted above have made it particularly challenging for us to project future sales volumes and manage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We use important intellectual property in our business. If we are unable to protect our intellectual property or if a third party makes assertions against us or our customers relating to intellectual property rights, our business could be adversely affected</w:t>
      </w:r>
      <w:r>
        <w:rPr>
          <w:rFonts w:ascii="Times New Roman" w:hAnsi="Times New Roman"/>
          <w:b/>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important intellectual property, including patents, trademarks, copyrights and trade secrets. Our intellectual property plays an important role in maintaining our competitive position in many of the markets that we 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however, that we will be able to secure all desired protection, nor that the steps we have taken to protect our intellectual property will be adequate, to prevent infringement of our rights or misappropriation or theft of our technology, trade secrets or know-how. For example, effective patent, trademark, copyright and trade secret protection may be unavailable or limited in some of the countries in which we operate. In addition, while we generally enter into confidentiality agreements with our employees and third parties to protect our trade secrets, know-how, business strategy and other proprietary information, such confidentiality agreements could be breached or otherwise may not provide meaningful protection for our trade secrets and know-how related to the design, manufacture or operation of our products. If it became necessary for us to resort to litigation to protect our intellectual property rights, any proceedings could be burdensome and costly, and we may not prevail. Further, adequate remedies may not be available in the event of an unauthorized use or disclosure of our trade secrets and manufacturing expertise. Finally, for those products in our portfolio that rely on patent protection, once a patent has expired, the product is generally open to competition. Products under patent protection usually generate higher revenues and profitability than those not protected by patents. If we fail to successfully enforce our intellectual property rights, our competitive position and the value of our brands and other intangible assets could suffer, which could harm our business,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competitors may develop technologies that are similar or superior to our proprietary technologies or design around the patents we own or license. Further, as we expand our operations in jurisdictions where the protection of intellectual property rights is less robust, the risk of others duplicating our proprietary technologies increases, despite efforts we undertake to protect them. Foreign governments may adopt regulations, and foreign governments or courts may render decisions, requiring compulsory licensing of intellectual property rights, or foreign governments may require products to meet standards that serve to favor local companies or provide reduced protection relative to other countries.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Legal, Regulatory and Compliance Risks</w:t>
      </w:r>
    </w:p>
    <w:p>
      <w:pPr>
        <w:pStyle w:val="TextBody"/>
        <w:bidi w:val="0"/>
        <w:spacing w:before="240" w:after="283"/>
        <w:jc w:val="both"/>
        <w:rPr>
          <w:rFonts w:ascii="Times New Roman" w:hAnsi="Times New Roman"/>
          <w:sz w:val="20"/>
        </w:rPr>
      </w:pPr>
      <w:r>
        <w:rPr>
          <w:rFonts w:ascii="Times New Roman" w:hAnsi="Times New Roman"/>
          <w:i/>
          <w:color w:val="000000"/>
          <w:sz w:val="20"/>
        </w:rPr>
        <w:t>Economic and trade policy, including tariffs and customs regulations, could have a material and adverse effect on our business.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we manufacture products, such as China and Mexico, could have a material adverse effect on our business and financial results. In recent years, the U.S. and Chinese governments have imposed a series of significant incremental retaliatory tariffs to certain imported products. Most notably with respect to the automotive industry, the U.S. imposed tariffs on imports of certain steel, aluminum and automotive components, and China imposed retaliatory tariffs on imports of U.S. vehicles and certain automotive components. Depending upon their duration and implementation, as well as our ability to mitigate their impact, these tariffs and any other future regulatory actions implemented on a broader range of products or raw materials could materially affect our business, including in the form of increased cost of goods sold, decreased margins, increased pricing for customers, reduced sales and disruption in our supply chain.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various countries regulate cross-border transactions of certain products through import permitting and licensing requirements. The exportation, re-exportation, transfers within foreign countries and importation of our products, including by our suppliers and vendors, must comply with these laws and regulations, and any violations may result in reputational harm, government investigations and penalties, and a denial or curtailment of importing or exporting activities. Complying with export control and sanctions laws, including recent sanctions against Russia and related persons and entities,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the U.S. and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may face particular privacy, data security and data protection risks.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subject to several data privacy and data security laws and regulations in the various jurisdictions that we operate. An increasing number of U.S. states have enacted data privacy and security laws and regulations that govern the collection, use, disclosure, transfer, storage, disposal, and protection of personal information, such as social security numbers, financial information and other information. For example, several U.S. territories and all 50 states have adopted data breach rules that require timely notification if a company has experienced the unauthorized access or acquisition of personal information. Similarly, many of the requirements mandated by the California Consumer Protection Act (“CCPA”) that went into effect on January 1, 2020 have not yet been interpreted by courts, and best practices are still being developed by the industry, all of which increase the risk of compliance failure and related adverse impacts. Furthermore, on January 1, 2023, substantive provisions of the California Privacy Rights Act (“CPRA”) became effective, in some cases requiring new or modified practices and operations. Other states enacted similar privacy laws in recent years and other states are considering doing so. These privacy laws may impose substantial penalties for violations, impose significant costs for investigations and compliance, allow private class-action litigation and carry significant potential liability for our business and reputation.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Legislators and/or regulators in foreign countries in which we operate are increasingly adopting or revising privacy, information security and data protection laws as well. In particular, the European Union’s General Data Protection Regulation (“GDPR”), which became effective on May 25, 2018, imposes additional obligations and risk upon our business and which increases substantially the penalties to which we could be subject in the event of any non-compliance. Many countries have enacted similar types of legislative and regulatory requirements concerning data protection, and additional countries are considering similar legal frameworks.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CCPA, CPRA, GDPR and other similar laws and regulations including those recently or soon to be enacted (such as the SECs proposed cybersecurity disclosure regulations), as well as any associated inquiries or investigations or any other government actions, may be costly and burdensome to comply with, lead to a decline in consumer engagement, result in negative publicity, increase our operating costs, require significant management time and attention to monitor and be in compliance with, and subject us to remedies that may harm our business, including fines or demands or orders that we modify or cease existing business practices. Moreover, regulatory actions seeking to impose significant financial penalties for noncompliance and/or legal actions (including pursuant to laws providing for private rights of action by consumers) could be brought against us in the event of a data compromise, misuse of consumer information, or perceived or actual non-compliance with data protection or privacy requirements, privacy, or artificial intelligence requirements. The rapid evolution and increased adoption of artificial intelligence technologies may intensify these risks.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Defects or quality issues associated with our automotive and medical products, as well as a significant product liability lawsuit, warranty claim or product recall involving us or one of our major customers, or an investigation regarding vehicle safety generally, could adversely affect the results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design, manufacture and marketing of automotive products may subject us to warranty claims and product liability in the event that our products (or the products of our customers that incorporate our products) fail to perform as expected and, in the case of product liability, such failure of our products (or the products of our customers that incorporate our products) results or is alleged to result in bodily injury or property damage. This risk may be enhanced for any new developed products or recently acquired products, which has been a significant part of our growth in recent years. If any of our products are or are alleged to be defective, we also may be required by our customers or regulators to participate in a recall or other corrective action involving such products, which we have been subject to periodically. Automotive manufacturers are increasingly looking to their suppliers for contribution when faced with recalls and product liability claims, as well as requiring their suppliers to guarantee or warrant their products and bear the costs of repair and replacement of such products under new vehicle warranties. OEMs historically have recalled vehicles for perceived defects in seat heaters, and we have incurred liabilities in connection with the recalls and other field actions. In addition, governmental regulatory agencies throughout the world, such as NHTSA in the U.S., have safety standards that require manufacturers to remedy defects related to vehicle safety through safety recall campaigns, and a manufacturer is obligated to recall vehicles if it determines that the vehicles do not comply with a safety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large liability claims, if made, could exceed our insurance coverage limits and insurance may not continue to be available on commercially acceptable terms, if at all, and we may incur significant costs to defend these claims. In addition, we may not be successful in recovering amounts from third parties, including suppliers, in connection with these claims. In certain instances, allegedly defective products may be the result of components supplied by our supply chain, and we may be limited in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recovery from our suppliers of materials or services included within our products that are associated with product liability and warranty claims, particularly if the affected items relate to global platforms or involve defects that are identified years after production. A recall, product liability or warranty claim brought against us that is not insured or is in excess of our available insurance, and if other third parties do not contribute or indemnify us, could have an adverse impact on our results of operations and reputation or market acceptance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manufacture and marketing of medical products involve certain inherent risks. Manufacturing or design defects, component failures, unapproved or improper use of our products, or inadequate disclosure of risks or other information relating to the use of our products can lead to regulatory action,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inadequate disclosure or defect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 such as further clinical testing. Such clinical testing is costly and time-consuming and could delay market approval or the meeting of additional post-market requirements.</w:t>
      </w:r>
    </w:p>
    <w:p>
      <w:pPr>
        <w:pStyle w:val="TextBody"/>
        <w:bidi w:val="0"/>
        <w:spacing w:before="240" w:after="283"/>
        <w:jc w:val="both"/>
        <w:rPr>
          <w:rFonts w:ascii="Times New Roman" w:hAnsi="Times New Roman"/>
          <w:sz w:val="20"/>
        </w:rPr>
      </w:pPr>
      <w:r>
        <w:rPr>
          <w:rFonts w:ascii="Times New Roman" w:hAnsi="Times New Roman"/>
          <w:i/>
          <w:color w:val="000000"/>
          <w:sz w:val="20"/>
        </w:rPr>
        <w:t>Tax matters, including changes in the corporate tax rates, disagreement with taxing authorities and imposition of new taxes could impact our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and other taxes in the U.S. and internationally. We are also subject to regular reviews, examinations, and audits by the Internal Revenue Service and other taxing authorities with respect to our taxes.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 of operations and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need to comply with new, evolving or revised tax laws and regulations, such as the European Union’s Pillar Two Directive, which has effective dates for different aspects of the directive of January 1, 2024, and January 1, 2025. The enactment of or increases in tariffs, or other changes in the application or interpretation of tax legislation and other initiatives, or on specific products that we sell or with which our products compete, may have an adverse effect on our business or on our results of operations. </w:t>
      </w:r>
    </w:p>
    <w:p>
      <w:pPr>
        <w:pStyle w:val="TextBody"/>
        <w:bidi w:val="0"/>
        <w:spacing w:before="240" w:after="120"/>
        <w:jc w:val="left"/>
        <w:rPr>
          <w:rFonts w:ascii="Times New Roman" w:hAnsi="Times New Roman"/>
          <w:sz w:val="20"/>
        </w:rPr>
      </w:pPr>
      <w:r>
        <w:rPr>
          <w:rFonts w:ascii="Times New Roman" w:hAnsi="Times New Roman"/>
          <w:i/>
          <w:color w:val="000000"/>
          <w:sz w:val="20"/>
        </w:rPr>
        <w:t>The value of our deferred tax assets may not be realized, which could materially and adversely affect our operating results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approximately $64 million in net deferred tax assets, inclusive of a $36 million valuation allowance. These deferred tax assets include net operating loss carryovers and tax credits that can be used to offset taxable income in future periods and reduce income taxes payable in those future periods. Each quarter, we determine the probability of the realization of deferred tax assets, using significant judgments and estimates with respect to, among other things, historical operating results and expectations of future earnings and tax planning strategies. If we determine in the future that there is not sufficient positive evidence to support the valuation of these assets, due to the risk factors described herein or other factors, we may be required to further adjust the valuation allowance to reduce our deferred tax assets. Such a reduction could result in material non-cash expenses in the period in which the valuation allowance is adjusted and could have a material adverse effect on our financial statements.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patient temperature management business is subject to extensive industry regulation and failure to comply with all applicable rules and regulation may adversely impact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patient temperature management products are subject to extensive, complex, costly and evolving government regulation. In the United States, this is principally administered by the Food and Drug Administration (“FDA”). Various regulatory agencies in foreign countries where our medical products are sold also regulate that business. Under both United States and foreign country regulations, we are subject to periodic inspection of our facilities (including third-party facilities that are performing services for us), procedures and operations and testing of our products. Following such FDA inspections, should any noncompliance with regulations or other quality issues be noted, we may receive observations, notices, citations and/or warning letters that could require us to get FDA approval of a corrective action plan and modify certain activities identified during the inspection, possibly at a significant cost. We are also required to report adverse events associated with our medical products to the FDA and other foreign regulatory authorities where our products have been approved or received market clearance. Unexpected or serious health or safety concerns could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claims, recalls, market withdrawals or other regulatory actions. Changes in laws or regulations could require us to change the way we operate or to utilize resources to maintain compliance, which could increase costs or otherwise disrupt operations. In addition, failure to comply with any applicable laws or regulations could result in fines or revocation of our operating permits and licenses or, in rare circumstances, market withdrawal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for obtaining governmental approval to manufacture and market new medical devices is time-consuming and costly. We are dependent on receiving FDA and other governmental or third-party approvals prior to manufacturing, marketing and shipping any new medical products. We cannot be certain that any new medical products we develop will receive FDA or other necessary approvals. Also receipt of approval in one country does not guarantee approval by the FDA or any other foreign regulatory agency.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Any failure to comply with anti-corruption laws and regulations could have a material and adverse effect on our reputation, business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outside of the United States require us to comply with various anti-bribery and anti-corruption regulations, including but not limited to the U.S. Foreign Corrupt Practices Act, the United Kingdom Bribery Act and the China Anti-Unfair Competition Law. Compliance with these laws and regulations have become increasingly complex due to the increasing global operations of OEMs and automotive component suppliers, including us. Violations of these laws, which are complex and often difficult to interpret and apply, could result in significant criminal penalties or sanctions that could adversely affect our business, financial condition, results of operations and cash flows. Additionally, we have, in recent years, and may in the future complete acquisitions of and investments in companies that have had different policies, practices and standards, prior to acquisition, that increase the risk of our compliance with various regulations while we integrate such companies.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may be negatively impacted by the effects of climate change and by regulatory and stakeholder-imposed requirements to address climate change and other sustainability issues.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evidenced by shifting industry and consumer behaviors, including the development and use of electric vehicles, the automotive industry and consumers have a heightened focus on climate change and the environmental impact of product manufacturing and end use. This increased focus on sustainability and the environmental impact of the automotive industry and manufacturing processes has caused our customers and other stakeholders to impose additional requirements on us and our suppliers, which often exceed regulatory standards. These customer requirements include increased tracking and reporting of greenhouse gas emissions and other environmental metrics, reduced waste and wastewater from operations, increased use of sustainable materials in our products, and the use of renewable energy sources in our factory operations. We expect to incur increased operating costs and capital expenditures to procure renewable energy and additional equipment or make operational and process changes to comply with customer requirements in addition to state and federal regulations. Furthermore, our practices may be judged against sustainability standards that are continually evolving and not always clear. Prevailing sustainability standards, expectations and regulations may also reflect contrasting or conflicting values or agendas. To the extent we are unable to meet or exceed customer sustainability requirements, demand for our products and our revenues could be adversely impacted. A failure to adequately meet other stakeholder expectations may result in the loss of business, diluted market valuation, an inability to attract customers or an inability to attract and retain top talent.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 is continuing to receive ever increasing attention worldwide. Many scientists, legislators and others attribute climate change to increased levels of greenhouse gases, including carbon dioxide, which has led to and we expect will continue to lead to legislative and regulatory efforts in many jurisdictions to limit greenhouse gas emissions. New federal or state restrictions on emissions of carbon dioxide that may be imposed on vehicles and automobile fuels could adversely affect demand for vehicles, annual miles driven or the products we sell, lead to changes in automotive technology, and expedite the transition to electric vehicles. Compliance with any new or more stringent laws or regulations, or stricter interpretations of existing laws, could require increased capital expenditures to improve our product portfolio to meet such new laws, regulations and standards. Such legislative developments could adversely impact our business by increasing costs and could require us to make changes to our operations and result in substantial additional capital expenditures and operating costs. Such regulations may also subject us to new disclosure requirements, new supply chain requirements, new trade restrictions and increased risk of litigation or regulatory action, which could result in increased costs (in our operations and supply chain) and risks to our reputation or consumer demand for our products if we do not meet increasingly demanding stakeholder expectations and standards. These additional costs, changes in operations, or loss of revenues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the effects of climate change, such as increased intensity, frequency or duration of storms, floods, droughts, wildfires or other severe weather events have and may continue create financial or physical risk to us. Physical risks include disrupting the manufacturing, logistics and procurement activities and employee working conditions of us, our supply chain and our customers. Financial risks include the fluctuating demand for our products and technologies based on the climate where consumers live, since our business involves thermal management technologies, as well as potential additional costs of insurance and maintaining facilities in certain regions prone to climate risk. We could also face indirect financial risks passed through the supply chain, and process disruptions due to physical climate changes could result in price modifications for our products and the resources needed to produce them. Any of the foregoing could have a material adverse effect on our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are required to comply with environmental laws and regulations that could cause us to incur significant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facilities are subject to numerous laws and regulations designed to protect the environment, and we expect that additional requirements with respect to environmental matters will be imposed on us in the future. We may also assume, or be deemed to assume, significant environmental liabilities in acquisitions. Environmental liability may be imposed without regard to fault, and under certain circumstances, can be joint and several, resulting in one party being held responsible for the entire obligation. Material future expenditures may be necessary if compliance standards change or material unknown conditions that require remediation are discovered. Environmental laws could also restrict our ability to expand our facilities or could require us to acquire costly equipment or to incur other significant expenses in connection with our business. Violations of these requirements could result in fines or sanctions, obligations to investigate or remediate contamination, third party property damage or personal injury claims due to the migration of contaminants off-site, or modification or revocation of our operating permits, which could materially and adversely affect our financial condition, results of operations and cash flows.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are involved from time to time in various legal and regulatory proceedings and claims, which could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in various legal and regulatory proceedings and claims that, from time to time, are significant. These are typically claims that arise in the normal course of business including, without limitation, commercial or contractual disputes, including disputes with our customers, suppliers or competitors, intellectual property matters, personal injury claims, environmental matters, tax matters and employment matters. Such legal and regulatory proceedings could result in an adverse outcome for the Company that would adversely affect our financial condition, results of operations and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Risks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We may be unable to realize the expected benefits of our restructuring actions, which could adversely affect our profitability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undertaken significant restructuring activities in recent years that remain ongoing and may take future restructuring actions to realign and resize our production capacity and cost structure, lower our cost base, improve our financial performance and cash flow generation, and create a simplified organization best positioned to deliver on our key financial and operational priorities. Charges related to these actions or any further restructuring actions may have a material adverse effect on our results of operations and financial condition. We cannot ensure that any current or future restructuring will be completed as planned, on a timely basis or at all, will be on budget, or achieve the desired results.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are subject to significant foreign currency risk and foreign exchange exposure related to our global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global transactions is conducted in currencies other than the U.S. Dollar, including the Euro, the Chinese Renminbi, the Vietnamese Dong, the Hungarian Forint, the North Macedonian Denar, the Ukrainian Hryvnia, the South Korean Won and the Mexican Peso. While we sometimes employ financial instruments to hedge some of our transactional foreign exchange exposure, developing an effective and economical foreign currency risk strategy is complex and expensive and no strategy can completely insulate us from those exposures. Exchange rates can be volatile and could adversely affect our financial results and comparability of results from period to period. Such exchange rate volatility could also increase the costs of raw materials or components from foreign suppliers, and as a result, our profitability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existing indebtedness and the inability to access capital markets could restrict our business activities or our ability to execute our strategic objectives or adversely affect our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total consolidated indebtedness was $222.8 million, with $278.0 million available for additional borrowings under the Second Amended and Restated Credit Agreement subject to specified conditions that Gentherm currently satisfies. We may incur additional indebtedness in the future, including in connection with acquisitions or significant capital expenditures. If our outstanding borrowings increase, including under existing availability of revolving credit or if we incur additional indebtedness, the amount of our outstanding debt could have important, adverse consequences to us and our investors,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 substantial portion of our cash flow from operations to make interest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it more difficult to satisfy other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general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reducing the cash flow available to fund capital expenditures and other corporate purposes and to grow our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businesses and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borrow additional funds as needed or take advantage of business opportunities as they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debt agreements contain certain restrictive covenants and customary events of default. These restrictive covenants limit our ability to take certain actions, such as, among other things: incur additional debt, create liens, make certain payments or distributions (including for the repurchase or redemption of our shares), engage in mergers or consolidations, make certain dispositions and transfers of assets, enter into transactions with affiliates and guarantee indebtedness. While not unusual for financings of the type that we have, the restrictions in our credit facilities may prevent us from taking actions that we believe would be in the best interest of our business and may make it difficult for us to execute our business plans, take advantage of business opportunities, or react to changing industry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incur additional indebtedness, the risks described above could increase. In addition, our actual cash requirements in the future may be greater than expected. Our ability to make payments of principal and interest on our indebtedness depends upon our future performance. If our cash flow from operations is not sufficient to service our outstanding debt or to repay the outstanding debt as it becomes due, we may not be able to borrow money, sell assets or otherwise raise funds on acceptable terms, or at all, to service or refinance our debt and we may have to reduce or delay planned capital or operating expenditures. The occurrence of any of such events could have a material adverse effect upon our business, cash flows, financial condition and results of operations. If an event of default would occur under our existing debt agreements or any additional indebtedness, our lenders could declare all amounts outstanding to be immediately due and payable, which may cause cross-defaults under our other debt obligations. If our lenders accelerate the maturity of our indebtedness, we may not have sufficient capital available at that time to pay the amounts due to all lenders on a timely basis, and there is no guarantee that we would be able to repay, refinance, or restructure the payments on such debt. Further, under our existing credit facilities, the lenders would have the right to foreclose on certain of our assets, which could have a material adverse effect on our business, results of operations and financial condition.</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We utilize various strategies to move funds between countries to manage global liquidity needs without material adverse tax consequences. Any repatriation of cash to the U.S. may result in various tax consequences and the movement of capital remains subject to evolving government regulation, which could have an adverse impact on our liquidity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expect to be able to move funds between different countries to manage our global liquidity needs without material adverse tax implications, subject to current monetary policies and the terms of the Second Amended and Restated Credit Agreement. We utilize a combination of strategies and currently there are no significant restrictions on the ability of our subsidiaries to pay dividends or make other distributions to Gentherm Incorporated. As of December 31, 2023, the Company’s cash and cash equivalents held by our non-U.S. subsidiaries totaled $125.3 million. If additional non-U.S. cash was needed for our U.S. operations, we may be required to accrue and pay withholding if we were to distribute such funds from non-U.S. subsidiaries to the U.S. In addition, the movement of capital between our subsidiaries and us in different countries remains subject to evolving government regulation and geopolitical stability, and our liquidity and cash flows could be impacted adversely upon regulatory and geopolitical changes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We are exposed to risks related to accounts receivable sales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receivables factoring arrangement that permits us to sell certain accounts receivable on a revolving basis, subject to outstanding balances and concentration limits. These agreements permit us to recover on our accounts receivable for specific customers sooner than if they were not in place and help reduce the risk of non-payment by such customers. A limited number of our customers participate in these programs to date. If we do not enter into these agreements, our financial condition, results of operations and cash flows could be materially and adversely affected by delays or failures in collecting trade accounts receivables for the applicable customers. In addition, if any of the financial institutions with which we have these agreements experiences financial difficulties or otherwise modifies or terminates these agreements, such modification, termination or other loss of these arrangements could have a material and adverse effect upon our liquidity and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 Investment Risks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price of our Common Stock may fluctuate significantly.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price of our common stock, no par value ("Common Stock") on the Nasdaq Global Select Market </w:t>
      </w:r>
      <w:r>
        <w:rPr>
          <w:rFonts w:ascii="Times New Roman" w:hAnsi="Times New Roman"/>
          <w:color w:val="212529"/>
          <w:sz w:val="20"/>
        </w:rPr>
        <w:t xml:space="preserve">has experienced substantial price volatility and may continue to do so in the future. Additionally, the Company, the automotive industry and the stock market as a whole have experienced significant stock price and volume fluctuations that have affected stock prices in ways that may have been unrelated to these companies’ operating performance. In particular, </w:t>
      </w:r>
      <w:r>
        <w:rPr>
          <w:rFonts w:ascii="Times New Roman" w:hAnsi="Times New Roman"/>
          <w:color w:val="000000"/>
          <w:sz w:val="20"/>
        </w:rPr>
        <w:t>while stock price multiples had increased in recent years for OEMs and automotive component suppliers to reflect the growth opportunity of the rapid shift to EV production, stock price multiples have declined more recently during this period of uncertainty regarding EV adoption.</w:t>
      </w:r>
      <w:r>
        <w:rPr>
          <w:rFonts w:ascii="Times New Roman" w:hAnsi="Times New Roman"/>
          <w:color w:val="212529"/>
          <w:sz w:val="20"/>
        </w:rPr>
        <w:t xml:space="preserve"> Price volatility over a given period may cause the average price at which the Company repurchases its stock to exceed the stock’s price at a given point in time. If the Company fails to meet expectations related to future growth, profitability, share repurchases or other market expectations, its stock price may decline significantly, which could have a material adverse impact on investor confidence and employee retention.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11, 2020, the Board of Directors authorized a stock repurchase program, pursuant to which the Company is authorized to repurchase up to $150 million of Common Stock over a three-year period. Repurchases may be made, from time to time, in amounts and at prices the Company deems appropriate, subject to market conditions, applicable legal requirements, debt covenants and other considerations. Any Company stock repurchases under the program may result in stock price and volume fluctuations. During the year ended December 31, 2023, the Company repurchased shares under the 2020 Stock Repurchase Program for $92.5 million and had a remaining repurchase authorization of $37.5 million as of December 31, 2023. On November 1, 2023, the Board of Directors extended the maturity date of the program from December 15, 2023 to June 30, 2024. </w:t>
      </w:r>
    </w:p>
    <w:p>
      <w:pPr>
        <w:pStyle w:val="TextBody"/>
        <w:bidi w:val="0"/>
        <w:spacing w:before="240" w:after="283"/>
        <w:jc w:val="left"/>
        <w:rPr>
          <w:rFonts w:ascii="Times New Roman" w:hAnsi="Times New Roman"/>
          <w:sz w:val="20"/>
        </w:rPr>
      </w:pPr>
      <w:bookmarkStart w:id="5" w:name="item_1b"/>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6" w:name="item_1c"/>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information technology, communication networks, enterprise applications, accounting and financial reporting platforms, and related systems are necessary for the operation of our business. We use these systems, among others, to manage our product development and manufacturing, to communicate internally and externally, to operate our accounting and record-keeping functions, and for many other key aspects of our business. Our business operations rely on the secure collection, storage, transmission, and other processing of proprietary, confidential, and sensitive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data privacy or security laws, litigation, and legal, financial and reputational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systems and our proprietary, strategic or competitive data. Depending on the environment, we implement and maintain various technical, physical, and organizational measures, processes, standards, and/or policies designed to manage and mitigate material risks from cybersecurity threats to our information systems and data, including risk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regular reviews and tests of our information security program and also leverage audits by our internal audit team, tabletop exercises, penetration and vulnerability testing, and other exercises to evaluate the effectiveness of our information security program and improve our security measures and planning. We have an incident response process that relies on a multidisciplinary team for assessing and managing cybersecurity incidents, including an escalation framework based on the materiality of incidents. The multidisciplinary team includes members of our IT security function, executive management of our legal, finance, human resources, corporate communications and internal audit/risk functions and third party service providers of technical, legal and insurance services, as well as coordination with law enforcement as appropriate. Our IT security function also addresses cybersecurity threats through regular vulnerability reviews, risk registry reviews and global team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information security processes are integrated into our overall enterprise risk management (“ERM”) process and system. Our ERM process relies on designated risk managers to identify and assess material risks from cybersecurity threats. The risk managers form a multidisciplinary group including members of our IT security, finance, human resources and legal functions, operations and executive management, and are responsible for timely reporting of risks on an ongoing basis. Our ERM process includes an annual evaluation and ranking of the top risks captured in our ERM system against leading third party benchmark reports on global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work with third parties from time to time that assist us to identify, assess, and manage cybersecurity risks, including professional services firms, consulting firms, threat intelligence service providers, and penetration testing firms.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operate our business, we utilize certain third-party service providers to support a variety of functions.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120" w:after="283"/>
        <w:jc w:val="left"/>
        <w:rPr>
          <w:rFonts w:ascii="Times New Roman" w:hAnsi="Times New Roman"/>
          <w:sz w:val="20"/>
        </w:rPr>
      </w:pPr>
      <w:r>
        <w:rPr>
          <w:rFonts w:ascii="Times New Roman" w:hAnsi="Times New Roman"/>
          <w:color w:val="000000"/>
          <w:sz w:val="20"/>
        </w:rPr>
        <w:t>Our systems periodically experience directed attacks that may be intended to lead to financial loss, interruptions and delays in our operations as well as loss, misuse or theft of personal information (of third parties, employees, and other stakeholders) and other data, confidential information or intellectual property. However, we are not aware of any risks from cybersecurity threats, including as a result of any cybersecurity incidents, which have materially affected or are reasonably likely to materially affect our Company, including our business strategy, results of operations, or financial condition. Refer to “Item 1A. Risk factors” in this annual report on Form 10-K, including “</w:t>
      </w:r>
      <w:r>
        <w:rPr>
          <w:rFonts w:ascii="Times New Roman" w:hAnsi="Times New Roman"/>
          <w:i/>
          <w:color w:val="000000"/>
          <w:sz w:val="20"/>
        </w:rPr>
        <w:t>Security breaches and other disruptions to our information technology networks and systems, including a disruption related to cybersecurity, could interfere with our operations and could compromise the confidentiality of our proprietary information or personal information</w:t>
      </w:r>
      <w:r>
        <w:rPr>
          <w:rFonts w:ascii="Times New Roman" w:hAnsi="Times New Roman"/>
          <w:color w:val="000000"/>
          <w:sz w:val="20"/>
        </w:rPr>
        <w:t>”, for additional discussion about cybersecurity-related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holds oversight responsibility for the Company’s strategy and risk management, including material risks related to cybersecurity threats. This oversight is executed directly by the Board of Directors and through its committees. Our Board members also engage in ad hoc conversations with management on cybersecurity-related news events and discuss any updates to our cybersecurity risk management and strategy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of the Board of Directors (the “Audit Committee”) oversees the quality and effectiveness of the control and enterprise risk management processes of systemic risks, including cybersecurity, in accordance with its charter. The Audit Committee receives reports and engages in regular discussions with management regarding the Company’s significant financial risk exposures and the measures implemented to monitor and reasonably manage these risks, including those that may result from material cybersecurity threats. The Audit Committee also receives reports on material cybersecurity and data privacy incidents (if any), which would include plans to mitigate and respond to such incidents, and status on key information security initiatives. These discussions include the Company’s enterprise risk assessment and risk management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Technology Committee of the Board of Directors oversees the management of risks associated with the Company’s products and technologies, including cybersecurity risks related to new product technologies or significant innovations to existing product technologies, in accordance with its charter.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Vice President &amp; Chief Information Officer (the “CIO”) leads our global information security organization and reports to the Board of Directors on matters related to cybersecurity on behalf of the Company’s management. Our CIO has over 20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large industrial and technology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CIO leads an internal IT Security Committee that meets regularly to oversee company-wide efforts to address cybersecurity threats, to assess the effectiveness of our information security program and to prioritize efforts to improve our security measures and planning. Our IT Security Committee includes members of our IT security function and executive management of our legal, finance and internal audit/risk, human resources and corporate communications and technology functions.</w:t>
      </w:r>
    </w:p>
    <w:p>
      <w:pPr>
        <w:pStyle w:val="TextBody"/>
        <w:bidi w:val="0"/>
        <w:spacing w:before="240" w:after="283"/>
        <w:jc w:val="left"/>
        <w:rPr>
          <w:rFonts w:ascii="Times New Roman" w:hAnsi="Times New Roman"/>
          <w:sz w:val="20"/>
        </w:rPr>
      </w:pPr>
      <w:bookmarkStart w:id="7" w:name="item_2"/>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2023, we operate in more than 30 locations across 13 countries, which are primarily for manufacturing, assembly, distribution, warehousing, engineering and testing. The majority of our Automotive facilities located outside of the U.S. are principally used in manufacturing and distribution and are located in China, Hungary, Mexico, North Macedonia, South Korea, Ukraine, Czech Republic, Germany, and Vietnam. Our global headquarters is located in Northville, Michigan, our European headquarters is located in Odelzhausen, Germany and our Asia-Pacific headquarters is located in Shanghai, China. Our Medical business is principally comprised of our headquarters and manufacturing site located in Cincinnati, Ohio and our manufacturing sites in Germany and China. We also have sales offices, warehouses and engineering centers, strategically located throughout the world. Nearly all of our manufacturing and distribution sites in Mexico and Asia are leased, while most of our European sites are owned. </w:t>
      </w:r>
    </w:p>
    <w:p>
      <w:pPr>
        <w:pStyle w:val="TextBody"/>
        <w:bidi w:val="0"/>
        <w:spacing w:before="240" w:after="283"/>
        <w:jc w:val="left"/>
        <w:rPr>
          <w:rFonts w:ascii="Times New Roman" w:hAnsi="Times New Roman"/>
          <w:sz w:val="20"/>
        </w:rPr>
      </w:pPr>
      <w:bookmarkStart w:id="8" w:name="item_3"/>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subject to litigation from time to time in the ordinary course of our business, however, there is no current material pending litigation to which we are a party and no material legal proceedings were terminated, settled or otherwise resolved during the fourth quarter of the fiscal year ended December 31, 2023.</w:t>
      </w:r>
    </w:p>
    <w:p>
      <w:pPr>
        <w:pStyle w:val="TextBody"/>
        <w:bidi w:val="0"/>
        <w:spacing w:before="240" w:after="283"/>
        <w:jc w:val="left"/>
        <w:rPr>
          <w:rFonts w:ascii="Times New Roman" w:hAnsi="Times New Roman"/>
          <w:sz w:val="20"/>
        </w:rPr>
      </w:pPr>
      <w:bookmarkStart w:id="9" w:name="item_4"/>
      <w:bookmarkEnd w:id="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240" w:after="283"/>
        <w:jc w:val="left"/>
        <w:rPr>
          <w:rFonts w:ascii="Times New Roman" w:hAnsi="Times New Roman"/>
          <w:sz w:val="20"/>
        </w:rPr>
      </w:pPr>
      <w:bookmarkStart w:id="11" w:name="item_5"/>
      <w:bookmarkEnd w:id="11"/>
      <w:r>
        <w:rPr>
          <w:rFonts w:ascii="Times New Roman" w:hAnsi="Times New Roman"/>
          <w:b/>
          <w:color w:val="000000"/>
          <w:sz w:val="20"/>
        </w:rPr>
        <w:t>ITEM 5. MARKET FOR THE REGISTRANT’S COMMON STOCK,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trades on the Nasdaq Global Select Market under the symbol “THRM.”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15, 2024, our Common Stock was held by 39 shareholders of record. A substantially greater number of holders are beneficial owners whose shares of record are held by banks, brokers and other nominees.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paid any Common Stock cash dividends since formation, and we do not expect to pay any in the foreseeable future. The payment of future dividends is within the discretion of our Board of Directors and will depend upon business conditions, our earnings and financial condition and other factors. Currently, our bank credit facilities limit payment of dividends on our Common Stock.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December 2020, the Board of Directors authorized a stock repurchase program (the “2020 Stock Repurchase Program”). pursuant to which the Company is authorized to repurchase up to $150 million of its issued and outstanding Common Stock over a three-year period, expiring December 15, 2023. On November 1, 2023, the Board of Directors extended the maturity date of the program from December 15, 2023 to June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 2023, following the above-noted extension, the Company entered into a Confirmation of Issuer Forward Repurchase Transaction agreement (the “ASR Agreement”) with Bank of America, N.A. (“Bank of America”) that provides for the Company to purchase shares of Common Stock in an aggregate amount of $60 million (the “ASR Repurchase Amount”) under the 2020 Stock Repurchase Program. See Note 15, “Equity,” to the consolidated financial statements included in this Annual Report for additional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Repurchases under the 2020 Stock Repurchase Program may be made, from time to time, in amounts and at prices the Company deems appropriate, subject to market conditions, applicable legal requirements, debt covenants and other considerations. Any such repurchases may be executed using open market purchases, privately negotiated agreements or other transactions (including Rule 10b5-1 trading plans), and may be funded from cash on hand, available borrowings or proceeds from potential debt or other capital markets sources. The 2020 Stock Repurchase Program may be modified, extended or terminated at any time without prior notice.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Issuer Purchases of Equity Securities During Fourth Quarter 2023</w:t>
      </w:r>
    </w:p>
    <w:tbl>
      <w:tblPr>
        <w:tblW w:w="10205" w:type="dxa"/>
        <w:jc w:val="left"/>
        <w:tblInd w:w="0" w:type="dxa"/>
        <w:tblLayout w:type="fixed"/>
        <w:tblCellMar>
          <w:top w:w="28" w:type="dxa"/>
          <w:left w:w="28" w:type="dxa"/>
          <w:bottom w:w="28" w:type="dxa"/>
          <w:right w:w="28" w:type="dxa"/>
        </w:tblCellMar>
      </w:tblPr>
      <w:tblGrid>
        <w:gridCol w:w="1538"/>
        <w:gridCol w:w="146"/>
        <w:gridCol w:w="195"/>
        <w:gridCol w:w="1249"/>
        <w:gridCol w:w="146"/>
        <w:gridCol w:w="146"/>
        <w:gridCol w:w="237"/>
        <w:gridCol w:w="642"/>
        <w:gridCol w:w="146"/>
        <w:gridCol w:w="146"/>
        <w:gridCol w:w="316"/>
        <w:gridCol w:w="2027"/>
        <w:gridCol w:w="146"/>
        <w:gridCol w:w="146"/>
        <w:gridCol w:w="471"/>
        <w:gridCol w:w="2313"/>
        <w:gridCol w:w="195"/>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t>
              <w:b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 </w:t>
              <w:br/>
              <w:t>Total Number of Shares Repurchased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w:t>
              <w:br/>
              <w:t>Approximate Dollar Value of Shares That May Yet Be Purchased Under the 2020 Stock Repurchase Program</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2023 to October 31, 2023</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2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20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97,490,518</w:t>
            </w:r>
          </w:p>
        </w:tc>
        <w:tc>
          <w:tcPr>
            <w:tcW w:w="195" w:type="dxa"/>
            <w:tcBorders/>
            <w:shd w:fill="CFF0FC" w:val="clear"/>
            <w:vAlign w:val="center"/>
          </w:tcPr>
          <w:p>
            <w:pPr>
              <w:pStyle w:val="TableContents"/>
              <w:bidi w:val="0"/>
              <w:spacing w:before="0" w:after="283"/>
              <w:jc w:val="left"/>
              <w:rPr/>
            </w:pPr>
            <w:r>
              <w:rPr/>
              <w:t> </w:t>
            </w:r>
          </w:p>
        </w:tc>
      </w:tr>
      <w:tr>
        <w:trPr/>
        <w:tc>
          <w:tcPr>
            <w:tcW w:w="15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November 1, 2023 to November 30, 2023 </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20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left"/>
              <w:rPr/>
            </w:pPr>
            <w:r>
              <w:rPr/>
              <w:t> </w:t>
            </w:r>
          </w:p>
        </w:tc>
        <w:tc>
          <w:tcPr>
            <w:tcW w:w="2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37,490,518</w:t>
            </w:r>
          </w:p>
        </w:tc>
        <w:tc>
          <w:tcPr>
            <w:tcW w:w="195" w:type="dxa"/>
            <w:tcBorders/>
            <w:shd w:fill="FFFFFF" w:val="clear"/>
            <w:vAlign w:val="center"/>
          </w:tcPr>
          <w:p>
            <w:pPr>
              <w:pStyle w:val="TableContents"/>
              <w:bidi w:val="0"/>
              <w:spacing w:before="0" w:after="283"/>
              <w:jc w:val="left"/>
              <w:rPr/>
            </w:pPr>
            <w:r>
              <w:rPr/>
              <w:t> </w:t>
            </w:r>
          </w:p>
        </w:tc>
      </w:tr>
      <w:tr>
        <w:trPr/>
        <w:tc>
          <w:tcPr>
            <w:tcW w:w="15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2023 to December 31, 2023</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24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20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left"/>
              <w:rPr/>
            </w:pPr>
            <w:r>
              <w:rPr/>
              <w:t> </w:t>
            </w:r>
          </w:p>
        </w:tc>
        <w:tc>
          <w:tcPr>
            <w:tcW w:w="2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37,490,518</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On November 2, 2023, pursuant to the ASR agreement, we paid $60 million to Bank of America for an initial purchase of approximately 1.22 million shares of Common Stock, representing 80% of ASR Repurchase Amount. The final settlement date is scheduled to occur no later than the second quarter of 2024 and may end earlier at the option of Bank of America. As of the final settlement date, Bank of America may be required to deliver additional shares of Common Stock to the Company or the Company may be required to deliver shares of Common Stock to Bank America, such that the Company’s repurchase of Common Stock under the ASR Agreement in aggregate will equal the ASR Repurchase Amount (based on the average of the daily volume-weighted average prices of the Common Stock during the term of the ASR Agreement, less a specified discount).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average price paid per share represents the price used in calculating the initial delivery of shares under the ASR. The final price per share will be based on the average of the daily volume-weighted average prices of the Common Stock during the term of the ASR Agreement, less a specified discount.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graph</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graph reflects the comparative changes in the value from December 31, 2018 through December 31, 2023, assuming an initial investment of $100 and the reinvestment of dividends, if any, in (1) our Common Stock, (2) the NASDAQ Composite index, (3) the Russell 2000 Index and (4) the Dow Jones U.S. Auto Parts Index. Historical performance may not be indicative of future shareholder returns.</w:t>
      </w:r>
    </w:p>
    <w:p>
      <w:pPr>
        <w:pStyle w:val="TextBody"/>
        <w:bidi w:val="0"/>
        <w:spacing w:before="120" w:after="120"/>
        <w:jc w:val="left"/>
        <w:rPr/>
      </w:pPr>
      <w:r>
        <w:rPr/>
        <w:drawing>
          <wp:inline distT="0" distB="0" distL="0" distR="0">
            <wp:extent cx="5381625" cy="437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81625" cy="4371975"/>
                    </a:xfrm>
                    <a:prstGeom prst="rect">
                      <a:avLst/>
                    </a:prstGeom>
                  </pic:spPr>
                </pic:pic>
              </a:graphicData>
            </a:graphic>
          </wp:inline>
        </w:drawing>
      </w:r>
      <w:r>
        <w:rPr/>
        <w:t> </w:t>
      </w:r>
    </w:p>
    <w:p>
      <w:pPr>
        <w:pStyle w:val="TextBody"/>
        <w:bidi w:val="0"/>
        <w:spacing w:before="120" w:after="120"/>
        <w:jc w:val="left"/>
        <w:rPr/>
      </w:pPr>
      <w:r>
        <w:rPr/>
        <w:t> </w:t>
      </w:r>
    </w:p>
    <w:tbl>
      <w:tblPr>
        <w:tblW w:w="9280" w:type="dxa"/>
        <w:jc w:val="left"/>
        <w:tblInd w:w="0" w:type="dxa"/>
        <w:tblLayout w:type="fixed"/>
        <w:tblCellMar>
          <w:top w:w="28" w:type="dxa"/>
          <w:left w:w="28" w:type="dxa"/>
          <w:bottom w:w="28" w:type="dxa"/>
          <w:right w:w="28" w:type="dxa"/>
        </w:tblCellMar>
      </w:tblPr>
      <w:tblGrid>
        <w:gridCol w:w="2161"/>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0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Incorporated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236.17</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2000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160.85</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 Jones US Auto Parts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12" w:name="item_6"/>
      <w:bookmarkEnd w:id="12"/>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7"/>
      <w:bookmarkEnd w:id="13"/>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and is qualified in its entirety by, our consolidated financial statements (and notes related thereto) and other more detailed financial information appearing elsewhere in this Annual Report. Further, you should read the following discussion and analysis of our financial condition and results of operations together with the “Risk Factors” included elsewhere in this Annual Report for a discussion of important factors that could cause actual results to differ materially from the results described in or implied by the forward-looking statements contained in the following discussion and analysis. See also “Forward-Looking Statements” in Part I of this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Incorporated is the global market leader of innovative thermal management and pneumatic comfort technologies for the automotive industry and a leader in medical patient temperature management. Automotive products include variable temperature Climate Control Seats® (“CCS”), heated automotive interior systems (including heated seats, steering wheels, armrests and other components), battery performance solutions, cable systems, lumbar and massage comfort solutions, fuel management valves and other valves for brake and engine systems, and other electronic devices. Our automotive products can be found on vehicles manufactured by nearly all the major original equipment manufacturers ("OEMs") operating in North America and Europe, and several major OEMs in Asia. We operate in locations aligned with our major customers’ product strategies to provide locally enhanced design, integration and production capabilities. Medical products include patient temperature management systems. Our medical products can be found in hospitals throughout the world, primarily in the U.S., China, Germany and Brazil. The Company is also developing a number of new technologies and products that will help enable improvements to existing products, improve health, wellness and patient outcomes and will lead to new product applications for existing and new and adjacent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Automotive sales are driven by the number of vehicles produced by the OEMs, which is ultimately dependent on consumer demand for automotive vehicles, our product content per vehicle, and other factors that may limit or otherwise impact production by us, our supply chain and our customers. Historically, new vehicle demand and product content (i.e. vehicle features) have been driven by macroeconomic and other factors, such as interest rates, automotive manufacturer and dealer sales incentives, fuel prices, consumer confidence, employment levels, income growth trends and government and tax incentives. Vehicle content has also been driven by trends in consumer preferences, such as preferences for smart devices and features, personalized user experience, and comfort, health and wellness. Economic volatility or weakness in North America, Europe or Asia, as well as global geopolitical factors, have had and could result in a significant reduction in automotive sales and production by our customers, which have had and would have an adverse effect on our business, results of operations and financial condition. We believe our diversified OEM customer base and geographic revenue base, along with our flexible cost structure, have well positioned us to withstand the impact of industry downturns and benefit from industry upturns in the ordinary course. However, shifts in the mix of global automotive production to higher cost regions or to vehicles that contain less of our product content as well as continuing production challenges and inflationary pressures could adversely impact our profitability. In addition, we may be adversely impacted by volatility or weakness in markets for hybrid or electric vehicles specifically. We believe our products offer certain advantages for hybrid and electric vehicles, including improved energy efficiency, and position us well to withstand changes in the volume mix between vehicles driven by internal combustion engines and hybrid and other electric vehicles. We believe our industry is increasingly progressing towards a focus on human comfort and health and wellness, which is evidenced by increasing adoption rates for comfort products. We believe that products we are developing, such as ClimateSense®, WellSense and our acquisition of Alfmeier’s pneumatic comfort solutions, position us well to address trends in consumer preferences such as personalized user experience, comfort, health and wellness.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Trends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Global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2020, the global economy has experienced significant volatility and supply chain disruption, which has had a widespread adverse effect on the global automotive industry. These macroeconomic conditions have resulted in fluctuating demand and production disruptions, facility closures, labor shortages and work stoppages. In addition, global inflation has increased significantly beginning in 2021. Although supply chain conditions have steadily improved and certain inflationary pressures have moderated throughout fiscal year 2023, rising costs of materials, labor, equipment and other inputs used to manufacture and sell our products, including freight and logistics costs, have impacted, and may in the future impact, operating costs and operating results. We continue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employ measures to mitigate the impact of cost increases through identification of sourcing and manufacturing efficiencies where possible. However, we have been unable to fully mitigate or pass through the increases in our operating costs, which may continue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currency risk due to the translation and remeasurement of the results of certain international operations into U.S. Dollars as part of the consolidation process. Therefore, fluctuations in foreign currency exchange rates can create volatility in the results of operations and may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global manufacturing footprint that enables us to serve our customers in the regions they operate and shift production between regions to remain competitive. Throughout the year there have been various ongoing geopolitical conflicts, such as the current conflicts between Russia and Ukraine, and between Israel and Hamas, heightened tensions in the Red Sea, and potential tensions in the South China Sea. These conflicts have interrupted ocean freight shipping and if prolonged or intensified, could have a substantial adverse effect on our financial results. We, like other manufacturers, have a high proportion of fixed structural costs, and therefore relatively small changes in industry vehicle production can have a substantial effect on our financial results. If industry vehicle sales were to decline to levels significantly below our planning assumption, the decline could have a substantial adverse effect on our financial condition, results of operations, and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half of 2023, several North American OEMs experienced union-led labor strikes at certain of their facilities. As the automotive industry relies heavily on “just-in-time” delivery of components, these strikes led to labor shortages, work stoppages and other related disruptions. These disruptions limited the purchases of our products, which resulted in an insignificant impact on product revenues; however, any such future strikes could have a significant negative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these various challenges, global light vehicle production in 2023 in the Company’s key markets of North America, Europe, China, Japan and Korea, increased 11.4% as compared to 2022, according to the forecasting firm S&amp;P Global Mobility (February 2024 release).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15, 2022, the European Union (“EU”) Member States formally adopted the EU’s Pillar Two Directive, which generally provides for a minimum effective tax rate of 15%, as established by the Organization for Economic Co-operation and Development Pillar Two Framework. The effective dates for different aspects of the directive are January 1, 2024, and January 1, 2025. Upon adoption of this directive, the Company does not expect it to have a material impact to the Company’s financial statements. The Company will continue to evaluate the potential impact on future periods of these tax regulations.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Fit-for-Growth 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half of 2023, the Company launched Fit-for-Growth 2.0 to execute our long-term growth strategy. Fit-for-Growth 2.0 is expected to deliver significant cost reductions through sourcing excellence, value engineering, manufacturing productivity, manufacturing footprint optimization, product profitability and cost synergies from the Alfmeier acquisition. Additionally, the program is intended to drive operating expense efficiency to leverage scale.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13, 2022, the Company completed the acquisition of Jiangmen Dacheng Medical Equipment Co. Ltd (“Dacheng”) and its wholly owned subsidiary, IOB Medical, Inc. Dacheng is a manufacturer of medical materials and medical equipment, including patient temperature management solutions, for numerous local and international customers. The acquisition provided Gentherm Medical a local presence in China’s high-growth market for patient warming devices and other medical device products, and expanded overall manufacturing capacity to include a low-cost manufacturing site. The total consideration transferred was $35.0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 2022, the Company acquired 100% of the equity interests of Alfmeier Präzision SE (“Alfmeier”), a global leader in automotive lumbar and massage comfort solutions and a leading provider of advanced valve systems, integrated electronics and software. The acquisition further expanded the Company's value proposition beyond thermal in comfort, health, wellness, and energy efficiency and aligned well with global consumer demand for expanded offerings in vehicle passenger comfort. The total consideration for this acquisition was $170.7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4, “Acquisitions” of the consolidated financial statements included in this Annual Report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Impairments – Non-Automotive Electronics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2022, the Company approved a plan to exit its non-automotive electronics business to strengthen the Company’s core business and focus its resources and equipment with businesses and investments that are more strategic and profitable. As of December 31, 2023, the Company has substantially completed the exit of this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 recorded non-cash impairment charges of $6.1 million for the write down of inventory within the Automotive segment. This charge is recorded in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2022, the Company recorded non-cash impairment charges of $9.4 million, $5.6 million and $0.7 million for write downs of inventory, intangible assets and property and equipment, respectively, within the Automotive segment.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Impairments - Medical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2022, the estimated fair value of the Medical reporting unit exceeded its carrying value by less than 10%. During the second quarter of 2023, the Company’s Medical reporting unit did not perform in-line with forecasted results primarily driven by slower than anticipated revenue growth. As a result, an indicator of impairment was identified and the Company performed an interim quantitative assessment as of June 30, 2023. The results of this quantitative analysis indicated the carrying value of the reporting unit exceeded the fair value, and accordingly, an impairment expense was recorded for $19.5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factors leading to the decline in value from the analysis performed at December 31, 2022 were a reduction in expected future cash flows, due to the Company re-evaluating its forecasted results and an increase in the discount rate that is based on the Medical reporting unit’s weighted average cost of capital. The decline in expected future cash flows resulted primarily from a reduction of forecasted revenue growth rates. If the Company’s revised expectation of revenue growth is not achieved or if the estimated growth rates are reduced because of new information or experience, the fair value of the Medical reporting unit could decrease, which could result in further impairment of goodwill. No further impairment was recorded as of December 31, 2023.</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2023 Manufacturing Footprint Rationalization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September 19, 2023, the Company committed to a restructuring plan (“2023 Plan”) to improve the Company’s manufacturing productivity and rationalize its footprint. Under this 2023 Plan, the Company will relocate certain existing manufacturing and related activities in its Greenville, South Carolina facility to a new facility in Monterrey, Mexico.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expects to incur total costs of between $12 million and $16 million, of which between $11 million and $15 million are expected to be cash expenditures. The actions under the 2023 Plan are expected to be substantially completed by the end of 2025 and generate annual benefits of between $5 million and $6 million. The actual timing, costs and savings of the 2023 Plan may differ materially from the Company’s current expectations and estimates. During the year ended December 31, 2023, the Company recognized restructuring expense of $0.5 million for employee separation costs and $0.2 million for other costs.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5, “Restructuring and Impairments” to the consolidated financial statements included in this Annual Report for additional information related to this plan.</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Light Vehicle Production Volumes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sales are driven by the number of vehicles produced by the automotive manufacturers, which is ultimately dependent on consumer demand for automotive vehicles, and our content per vehicle, and other factors that may limit or otherwise impact production by us, our supply chain and our customers. According to the forecasting firm S&amp;P Global Mobility (February 2024 release), global light vehicle production in 2023 in the Company’s key markets of North America, Europe, China, Japan and Korea, as compared to 2022, are shown below (in millions of units):</w:t>
      </w:r>
    </w:p>
    <w:tbl>
      <w:tblPr>
        <w:tblW w:w="8132" w:type="dxa"/>
        <w:jc w:val="left"/>
        <w:tblInd w:w="0" w:type="dxa"/>
        <w:tblLayout w:type="fixed"/>
        <w:tblCellMar>
          <w:top w:w="28" w:type="dxa"/>
          <w:left w:w="28" w:type="dxa"/>
          <w:bottom w:w="28" w:type="dxa"/>
          <w:right w:w="28" w:type="dxa"/>
        </w:tblCellMar>
      </w:tblPr>
      <w:tblGrid>
        <w:gridCol w:w="4671"/>
        <w:gridCol w:w="146"/>
        <w:gridCol w:w="146"/>
        <w:gridCol w:w="466"/>
        <w:gridCol w:w="146"/>
        <w:gridCol w:w="146"/>
        <w:gridCol w:w="146"/>
        <w:gridCol w:w="466"/>
        <w:gridCol w:w="146"/>
        <w:gridCol w:w="146"/>
        <w:gridCol w:w="222"/>
        <w:gridCol w:w="709"/>
        <w:gridCol w:w="576"/>
      </w:tblGrid>
      <w:tr>
        <w:trPr/>
        <w:tc>
          <w:tcPr>
            <w:tcW w:w="4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r>
      <w:tr>
        <w:trPr/>
        <w:tc>
          <w:tcPr>
            <w:tcW w:w="4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5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r>
      <w:tr>
        <w:trPr/>
        <w:tc>
          <w:tcPr>
            <w:tcW w:w="4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r>
      <w:tr>
        <w:trPr/>
        <w:tc>
          <w:tcPr>
            <w:tcW w:w="4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 / South Korea</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w:t>
            </w:r>
          </w:p>
        </w:tc>
      </w:tr>
      <w:tr>
        <w:trPr/>
        <w:tc>
          <w:tcPr>
            <w:tcW w:w="46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light vehicle production volume in key markets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S&amp;P Global Mobility report (February 2024 release) forecasted light vehicle production volume in the Company’s key markets for full year 2024 to decrease to 75.0 million units, a 0.5% decrease from full year 2023 light vehicle production volumes. Forecasted light vehicle production volumes are a component of the data we use in forecasting future business. However, these forecasts generally are updated monthly, and future forecasts have been and may continue to be significantly different from period to period due to changes in macroeconomic conditions or matters specific to the automotive industry. Further, due to differences in regional product mix at our manufacturing facilities, as well as material production schedules from our customers for our products on specific vehicle programs, our future forecasted results do not directly correlate with the global and/or regional light vehicle production forecasts of S&amp;P Global Mobility or other third-party 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Business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innovation is an important element to gaining market acceptance of our products and strengthening our market position. During 2023, we secured an estimated $2,630 million of automotive new business awards, which set a new record of annual new business awards for the Company. 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new business awards are an indicator of future revenue. New business awards are not projections of revenue or future business as of December 31, 2023, the date of this Annual Report or any other date. Customer projections regularly change over time, and we do not update our calculation of any new business award after the date initially communicated. Automotive new business awards in 2023 also do not reflect, in particular, the impact of macroeconomic and geopolitical challenges on future business. Revenues resulting from automotive new business awards also are subject to additional risks and uncertainties as described in Item 1 under “Forward-Looking Statements” of this Annual Report.</w:t>
      </w:r>
    </w:p>
    <w:p>
      <w:pPr>
        <w:pStyle w:val="TextBody"/>
        <w:bidi w:val="0"/>
        <w:spacing w:before="240" w:after="283"/>
        <w:jc w:val="left"/>
        <w:rPr>
          <w:rFonts w:ascii="Times New Roman" w:hAnsi="Times New Roman"/>
          <w:sz w:val="20"/>
        </w:rPr>
      </w:pPr>
      <w:r>
        <w:rPr>
          <w:rFonts w:ascii="Times New Roman" w:hAnsi="Times New Roman"/>
          <w:b/>
          <w:i/>
          <w:color w:val="000000"/>
          <w:sz w:val="20"/>
        </w:rPr>
        <w:t>Reportable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reportable segments for financial reporting purposes: Automotive and Medical.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19, “Segment Reporting,” to the consolidated financial statements included in this Annual Report for a description of our reportable segments as well as their proportional contribution to the Company’s reported product revenues and operating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Results of Operations Year Ended December 31, 2023 Compared to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section discusses our consolidated results of operations for the year ended December 31, 2023 compared to the year ended December 31, 2022. For a detailed discussion of our consolidated results of operations for the years ended December 31, 2022 compared to the year ended December 31, 2021, see Part II, Item 7 “Management’s Discussion and Analysis of Financial Condition and Results of Operation” under “Results of Operations Year Ended December 31, 2022 Compared to December 31, 2021” in our annual report on Form 10-K for the year ended December 31, 2022, which was filed with the SEC on February 24,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results of operations for the years ended December 31, 2023 and 2022, in thousands, were as follows:</w:t>
      </w:r>
    </w:p>
    <w:tbl>
      <w:tblPr>
        <w:tblW w:w="10046" w:type="dxa"/>
        <w:jc w:val="left"/>
        <w:tblInd w:w="0" w:type="dxa"/>
        <w:tblLayout w:type="fixed"/>
        <w:tblCellMar>
          <w:top w:w="28" w:type="dxa"/>
          <w:left w:w="28" w:type="dxa"/>
          <w:bottom w:w="28" w:type="dxa"/>
          <w:right w:w="28" w:type="dxa"/>
        </w:tblCellMar>
      </w:tblPr>
      <w:tblGrid>
        <w:gridCol w:w="5196"/>
        <w:gridCol w:w="146"/>
        <w:gridCol w:w="211"/>
        <w:gridCol w:w="931"/>
        <w:gridCol w:w="166"/>
        <w:gridCol w:w="146"/>
        <w:gridCol w:w="211"/>
        <w:gridCol w:w="931"/>
        <w:gridCol w:w="166"/>
        <w:gridCol w:w="146"/>
        <w:gridCol w:w="236"/>
        <w:gridCol w:w="949"/>
        <w:gridCol w:w="61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264,420</w:t>
            </w:r>
          </w:p>
        </w:tc>
        <w:tc>
          <w:tcPr>
            <w:tcW w:w="61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77,974</w:t>
            </w:r>
          </w:p>
        </w:tc>
        <w:tc>
          <w:tcPr>
            <w:tcW w:w="61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intangible assets and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29,132</w:t>
            </w:r>
          </w:p>
        </w:tc>
        <w:tc>
          <w:tcPr>
            <w:tcW w:w="61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61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w:t>
            </w:r>
          </w:p>
        </w:tc>
        <w:tc>
          <w:tcPr>
            <w:tcW w:w="61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Product revenues by product category, in thousands, for the years ended December 31, 2023 and 2022 were as follows:</w:t>
      </w:r>
    </w:p>
    <w:tbl>
      <w:tblPr>
        <w:tblW w:w="8247" w:type="dxa"/>
        <w:jc w:val="left"/>
        <w:tblInd w:w="0" w:type="dxa"/>
        <w:tblLayout w:type="fixed"/>
        <w:tblCellMar>
          <w:top w:w="28" w:type="dxa"/>
          <w:left w:w="28" w:type="dxa"/>
          <w:bottom w:w="28" w:type="dxa"/>
          <w:right w:w="28" w:type="dxa"/>
        </w:tblCellMar>
      </w:tblPr>
      <w:tblGrid>
        <w:gridCol w:w="3586"/>
        <w:gridCol w:w="146"/>
        <w:gridCol w:w="211"/>
        <w:gridCol w:w="931"/>
        <w:gridCol w:w="146"/>
        <w:gridCol w:w="146"/>
        <w:gridCol w:w="211"/>
        <w:gridCol w:w="931"/>
        <w:gridCol w:w="146"/>
        <w:gridCol w:w="146"/>
        <w:gridCol w:w="189"/>
        <w:gridCol w:w="742"/>
        <w:gridCol w:w="71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9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Seat Heaters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Steering Wheel Heaters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Lumbar and Massage Comfort Solutions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Valve Systems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 Cables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Battery Performance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 Automotive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Medical segment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color w:val="000000"/>
          <w:sz w:val="16"/>
        </w:rPr>
      </w:pPr>
      <w:r>
        <w:rPr>
          <w:rFonts w:ascii="Times New Roman" w:hAnsi="Times New Roman"/>
          <w:color w:val="000000"/>
          <w:sz w:val="16"/>
        </w:rPr>
        <w:t>Includes product revenues from acquisitions since their respective acquisition dates (see Note 4).</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Product Revenues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Product revenues, in thousands, for the years ended December 31, 2023 and 2022:</w:t>
      </w:r>
    </w:p>
    <w:tbl>
      <w:tblPr>
        <w:tblW w:w="11308" w:type="dxa"/>
        <w:jc w:val="left"/>
        <w:tblInd w:w="0" w:type="dxa"/>
        <w:tblLayout w:type="fixed"/>
        <w:tblCellMar>
          <w:top w:w="28" w:type="dxa"/>
          <w:left w:w="28" w:type="dxa"/>
          <w:bottom w:w="28" w:type="dxa"/>
          <w:right w:w="28" w:type="dxa"/>
        </w:tblCellMar>
      </w:tblPr>
      <w:tblGrid>
        <w:gridCol w:w="841"/>
        <w:gridCol w:w="146"/>
        <w:gridCol w:w="211"/>
        <w:gridCol w:w="931"/>
        <w:gridCol w:w="146"/>
        <w:gridCol w:w="146"/>
        <w:gridCol w:w="211"/>
        <w:gridCol w:w="931"/>
        <w:gridCol w:w="146"/>
        <w:gridCol w:w="146"/>
        <w:gridCol w:w="229"/>
        <w:gridCol w:w="852"/>
        <w:gridCol w:w="146"/>
        <w:gridCol w:w="146"/>
        <w:gridCol w:w="146"/>
        <w:gridCol w:w="211"/>
        <w:gridCol w:w="781"/>
        <w:gridCol w:w="146"/>
        <w:gridCol w:w="146"/>
        <w:gridCol w:w="211"/>
        <w:gridCol w:w="421"/>
        <w:gridCol w:w="146"/>
        <w:gridCol w:w="146"/>
        <w:gridCol w:w="211"/>
        <w:gridCol w:w="781"/>
        <w:gridCol w:w="146"/>
        <w:gridCol w:w="146"/>
        <w:gridCol w:w="211"/>
        <w:gridCol w:w="736"/>
        <w:gridCol w:w="166"/>
        <w:gridCol w:w="146"/>
        <w:gridCol w:w="211"/>
        <w:gridCol w:w="78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Variance Due To: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Favorable / </w:t>
              <w:br/>
              <w:t>(Unfavorable)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Automotive 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Pricing/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264,420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revenues for the year ended December 31, 2023 increased 21.9% as compared to the year ended December 31, 2022. The increase in product revenues is due to favorable volumes in several product lines within the Automotive segment, favorable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impacts primarily attributable to the Euro, and the inclusion of sales from Alfmeier and Dacheng since the acquisitions, partially offset by lower cost recoveries from customers and unfavorable foreign currency impacts primarily attributable to the Chinese Renminbi, the Korean Won and the Japanese Yen.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Cost of Sales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Cost of sales and Gross margin, in thousands, for the years ended December 31, 2023 and 2022:</w:t>
      </w:r>
    </w:p>
    <w:tbl>
      <w:tblPr>
        <w:tblW w:w="11068" w:type="dxa"/>
        <w:jc w:val="left"/>
        <w:tblInd w:w="0" w:type="dxa"/>
        <w:tblLayout w:type="fixed"/>
        <w:tblCellMar>
          <w:top w:w="28" w:type="dxa"/>
          <w:left w:w="28" w:type="dxa"/>
          <w:bottom w:w="28" w:type="dxa"/>
          <w:right w:w="28" w:type="dxa"/>
        </w:tblCellMar>
      </w:tblPr>
      <w:tblGrid>
        <w:gridCol w:w="976"/>
        <w:gridCol w:w="146"/>
        <w:gridCol w:w="196"/>
        <w:gridCol w:w="826"/>
        <w:gridCol w:w="241"/>
        <w:gridCol w:w="146"/>
        <w:gridCol w:w="196"/>
        <w:gridCol w:w="691"/>
        <w:gridCol w:w="241"/>
        <w:gridCol w:w="146"/>
        <w:gridCol w:w="196"/>
        <w:gridCol w:w="751"/>
        <w:gridCol w:w="166"/>
        <w:gridCol w:w="146"/>
        <w:gridCol w:w="146"/>
        <w:gridCol w:w="196"/>
        <w:gridCol w:w="661"/>
        <w:gridCol w:w="166"/>
        <w:gridCol w:w="146"/>
        <w:gridCol w:w="196"/>
        <w:gridCol w:w="571"/>
        <w:gridCol w:w="166"/>
        <w:gridCol w:w="146"/>
        <w:gridCol w:w="221"/>
        <w:gridCol w:w="680"/>
        <w:gridCol w:w="146"/>
        <w:gridCol w:w="146"/>
        <w:gridCol w:w="196"/>
        <w:gridCol w:w="751"/>
        <w:gridCol w:w="166"/>
        <w:gridCol w:w="146"/>
        <w:gridCol w:w="196"/>
        <w:gridCol w:w="751"/>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Variance Due To:</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Automotive 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Operational 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Acquisitions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sales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1,117,452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931,006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(186,446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(186,446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351,624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273,650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77,974</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77,974</w:t>
            </w:r>
          </w:p>
        </w:tc>
        <w:tc>
          <w:tcPr>
            <w:tcW w:w="211" w:type="dxa"/>
            <w:tcBorders/>
            <w:shd w:fill="FFFFFF" w:val="clear"/>
            <w:vAlign w:val="center"/>
          </w:tcPr>
          <w:p>
            <w:pPr>
              <w:pStyle w:val="TableContents"/>
              <w:bidi w:val="0"/>
              <w:spacing w:before="0" w:after="283"/>
              <w:jc w:val="left"/>
              <w:rPr/>
            </w:pPr>
            <w:r>
              <w:rPr/>
              <w:t> </w:t>
            </w:r>
          </w:p>
        </w:tc>
      </w:tr>
      <w:tr>
        <w:trPr/>
        <w:tc>
          <w:tcPr>
            <w:tcW w:w="9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 Percentage of product 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sales for the year ended December 31, 2023 increased by 20.0% as compared to the year ended December 31, 2022. The increase in cost of sales is primarily due to increased volumes in our Automotive segment, inflation associated with wages and material costs, non-automotive electronics inventory charges related to the exit of such business, the full inclusion of expenses from the acquired businesses and unfavorable foreign currency impacts primarily attributable to the Mexican Peso and the Euro. These increases were partially offset by lower freight and duties costs, and favorable foreign currency impacts primarily attributable to the Chinese Renminbi and the Ukrainian Hryvnia.</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Net 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Net research and development expenses, in thousands, for the years ended December 31, 2023 and 2022:</w:t>
      </w:r>
    </w:p>
    <w:tbl>
      <w:tblPr>
        <w:tblW w:w="8576" w:type="dxa"/>
        <w:jc w:val="left"/>
        <w:tblInd w:w="0" w:type="dxa"/>
        <w:tblLayout w:type="fixed"/>
        <w:tblCellMar>
          <w:top w:w="28" w:type="dxa"/>
          <w:left w:w="28" w:type="dxa"/>
          <w:bottom w:w="28" w:type="dxa"/>
          <w:right w:w="28" w:type="dxa"/>
        </w:tblCellMar>
      </w:tblPr>
      <w:tblGrid>
        <w:gridCol w:w="4036"/>
        <w:gridCol w:w="146"/>
        <w:gridCol w:w="211"/>
        <w:gridCol w:w="781"/>
        <w:gridCol w:w="271"/>
        <w:gridCol w:w="146"/>
        <w:gridCol w:w="211"/>
        <w:gridCol w:w="781"/>
        <w:gridCol w:w="271"/>
        <w:gridCol w:w="146"/>
        <w:gridCol w:w="263"/>
        <w:gridCol w:w="922"/>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research and development expenses for the year ended December 31, 2023 increased 10% as compared to the year ended December 31, 2022. The increase in net research and development expenses is primarily related to the full inclusion of net expenses from Alfmeier, and increased investments to support new program wins, partially offset by higher customer reimbursements, excluding those from Alfmeier.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Selling, 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Selling, general and administrative expenses, in thousands, for the years ended December 31, 2023 and 2022:</w:t>
      </w:r>
    </w:p>
    <w:tbl>
      <w:tblPr>
        <w:tblW w:w="8096"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781"/>
        <w:gridCol w:w="271"/>
        <w:gridCol w:w="146"/>
        <w:gridCol w:w="263"/>
        <w:gridCol w:w="922"/>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Selling, general and administrative expenses for the year ended December 31, 2023 increased 17% as compared to the year ended December 31, 2022. The increase in selling, general and administrative expenses is primarily related to the full inclusion of expenses from acquired businesses and higher compensation expense, partially offset by lower acquisition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Impairment of 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Impairment of goodwill, in thousands, for the years ended December 31, 2023 and 2022:</w:t>
      </w:r>
    </w:p>
    <w:tbl>
      <w:tblPr>
        <w:tblW w:w="5611" w:type="dxa"/>
        <w:jc w:val="left"/>
        <w:tblInd w:w="0" w:type="dxa"/>
        <w:tblLayout w:type="fixed"/>
        <w:tblCellMar>
          <w:top w:w="28" w:type="dxa"/>
          <w:left w:w="28" w:type="dxa"/>
          <w:bottom w:w="28" w:type="dxa"/>
          <w:right w:w="28" w:type="dxa"/>
        </w:tblCellMar>
      </w:tblPr>
      <w:tblGrid>
        <w:gridCol w:w="2041"/>
        <w:gridCol w:w="146"/>
        <w:gridCol w:w="211"/>
        <w:gridCol w:w="676"/>
        <w:gridCol w:w="146"/>
        <w:gridCol w:w="146"/>
        <w:gridCol w:w="211"/>
        <w:gridCol w:w="346"/>
        <w:gridCol w:w="146"/>
        <w:gridCol w:w="146"/>
        <w:gridCol w:w="263"/>
        <w:gridCol w:w="922"/>
        <w:gridCol w:w="21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goodwill is related to the recorded Medical reporting unit goodwill impairment.</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Impairment of Intangible Assets and Property and Equipment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Impairment of intangible assets and property and equipment, in thousands, for the years ended December 31, 2023 and 2022:</w:t>
      </w:r>
    </w:p>
    <w:tbl>
      <w:tblPr>
        <w:tblW w:w="8536" w:type="dxa"/>
        <w:jc w:val="left"/>
        <w:tblInd w:w="0" w:type="dxa"/>
        <w:tblLayout w:type="fixed"/>
        <w:tblCellMar>
          <w:top w:w="28" w:type="dxa"/>
          <w:left w:w="28" w:type="dxa"/>
          <w:bottom w:w="28" w:type="dxa"/>
          <w:right w:w="28" w:type="dxa"/>
        </w:tblCellMar>
      </w:tblPr>
      <w:tblGrid>
        <w:gridCol w:w="4996"/>
        <w:gridCol w:w="146"/>
        <w:gridCol w:w="211"/>
        <w:gridCol w:w="571"/>
        <w:gridCol w:w="146"/>
        <w:gridCol w:w="146"/>
        <w:gridCol w:w="211"/>
        <w:gridCol w:w="421"/>
        <w:gridCol w:w="146"/>
        <w:gridCol w:w="146"/>
        <w:gridCol w:w="297"/>
        <w:gridCol w:w="888"/>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 and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intangible assets and property and equipment is primarily related to the intangible asset and property and equipment impairment recorded as a result of the Company’s exit of its non-automotive electronics business.</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Restructuring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Restructuring expenses, in thousands, for the years ended December 31, 2023 and 2022:</w:t>
      </w:r>
    </w:p>
    <w:tbl>
      <w:tblPr>
        <w:tblW w:w="5456" w:type="dxa"/>
        <w:jc w:val="left"/>
        <w:tblInd w:w="0" w:type="dxa"/>
        <w:tblLayout w:type="fixed"/>
        <w:tblCellMar>
          <w:top w:w="28" w:type="dxa"/>
          <w:left w:w="28" w:type="dxa"/>
          <w:bottom w:w="28" w:type="dxa"/>
          <w:right w:w="28" w:type="dxa"/>
        </w:tblCellMar>
      </w:tblPr>
      <w:tblGrid>
        <w:gridCol w:w="2011"/>
        <w:gridCol w:w="146"/>
        <w:gridCol w:w="211"/>
        <w:gridCol w:w="346"/>
        <w:gridCol w:w="146"/>
        <w:gridCol w:w="146"/>
        <w:gridCol w:w="211"/>
        <w:gridCol w:w="571"/>
        <w:gridCol w:w="146"/>
        <w:gridCol w:w="146"/>
        <w:gridCol w:w="319"/>
        <w:gridCol w:w="86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expenses primarily relate to the 2023 Plan and other discrete restructuring activities focused on optimizing our manufacturing and engineering footprint and the reduction of global overhead expenses. See Note 5, "Restructuring and Impairments," in the notes to the consolidated financial statements included in this Annual Report for additional information.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Interest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Interest expense, in thousands, for the years ended December 31, 2023 and 2022:</w:t>
      </w:r>
    </w:p>
    <w:tbl>
      <w:tblPr>
        <w:tblW w:w="5726" w:type="dxa"/>
        <w:jc w:val="left"/>
        <w:tblInd w:w="0" w:type="dxa"/>
        <w:tblLayout w:type="fixed"/>
        <w:tblCellMar>
          <w:top w:w="28" w:type="dxa"/>
          <w:left w:w="28" w:type="dxa"/>
          <w:bottom w:w="28" w:type="dxa"/>
          <w:right w:w="28" w:type="dxa"/>
        </w:tblCellMar>
      </w:tblPr>
      <w:tblGrid>
        <w:gridCol w:w="1771"/>
        <w:gridCol w:w="146"/>
        <w:gridCol w:w="211"/>
        <w:gridCol w:w="736"/>
        <w:gridCol w:w="166"/>
        <w:gridCol w:w="146"/>
        <w:gridCol w:w="211"/>
        <w:gridCol w:w="631"/>
        <w:gridCol w:w="166"/>
        <w:gridCol w:w="146"/>
        <w:gridCol w:w="263"/>
        <w:gridCol w:w="922"/>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interest expense during the year ended December 31, 2023 compared to 2022 primarily relates to higher interest rates on the revolving credit agreement and larger debt balances throughout the year, as well as less benefit from the change in fair value of the interest rate swap derivative. See Note 9, "Debt," in the notes to the consolidated financial statements included in this Annual Report for additional information.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Foreign Currency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Foreign currency loss, in thousands, for the years ended December 31, 2023 and 2022:</w:t>
      </w:r>
    </w:p>
    <w:tbl>
      <w:tblPr>
        <w:tblW w:w="5691" w:type="dxa"/>
        <w:jc w:val="left"/>
        <w:tblInd w:w="0" w:type="dxa"/>
        <w:tblLayout w:type="fixed"/>
        <w:tblCellMar>
          <w:top w:w="28" w:type="dxa"/>
          <w:left w:w="28" w:type="dxa"/>
          <w:bottom w:w="28" w:type="dxa"/>
          <w:right w:w="28" w:type="dxa"/>
        </w:tblCellMar>
      </w:tblPr>
      <w:tblGrid>
        <w:gridCol w:w="1861"/>
        <w:gridCol w:w="146"/>
        <w:gridCol w:w="211"/>
        <w:gridCol w:w="631"/>
        <w:gridCol w:w="166"/>
        <w:gridCol w:w="146"/>
        <w:gridCol w:w="211"/>
        <w:gridCol w:w="631"/>
        <w:gridCol w:w="166"/>
        <w:gridCol w:w="146"/>
        <w:gridCol w:w="394"/>
        <w:gridCol w:w="79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loss for the year ended December 31, 2023 included net realized foreign currency gain of $3.2 million and unrealized net foreign currency loss of $9.1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gain for the year ended December 31, 2022 included net realized foreign currency loss of $2.1 million and unrealized net foreign currency loss of $4.7 million.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Other (Loss)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Other (loss) income, in thousands, for the years ended December 31, 2023 and 2022:</w:t>
      </w:r>
    </w:p>
    <w:tbl>
      <w:tblPr>
        <w:tblW w:w="5466" w:type="dxa"/>
        <w:jc w:val="left"/>
        <w:tblInd w:w="0" w:type="dxa"/>
        <w:tblLayout w:type="fixed"/>
        <w:tblCellMar>
          <w:top w:w="28" w:type="dxa"/>
          <w:left w:w="28" w:type="dxa"/>
          <w:bottom w:w="28" w:type="dxa"/>
          <w:right w:w="28" w:type="dxa"/>
        </w:tblCellMar>
      </w:tblPr>
      <w:tblGrid>
        <w:gridCol w:w="1696"/>
        <w:gridCol w:w="146"/>
        <w:gridCol w:w="211"/>
        <w:gridCol w:w="631"/>
        <w:gridCol w:w="166"/>
        <w:gridCol w:w="146"/>
        <w:gridCol w:w="211"/>
        <w:gridCol w:w="571"/>
        <w:gridCol w:w="146"/>
        <w:gridCol w:w="146"/>
        <w:gridCol w:w="297"/>
        <w:gridCol w:w="888"/>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other income primarily is driven by an impairment in our investment in Carrar Ltd. See Note 2, "Summary of Significant Accounting Policies," in the notes to the consolidated financial statements included in this Annual Report for additional information.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Income Tax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Income tax expense, in thousands, for the years ended December 31, 2023 and 2022:</w:t>
      </w:r>
    </w:p>
    <w:tbl>
      <w:tblPr>
        <w:tblW w:w="5626" w:type="dxa"/>
        <w:jc w:val="left"/>
        <w:tblInd w:w="0" w:type="dxa"/>
        <w:tblLayout w:type="fixed"/>
        <w:tblCellMar>
          <w:top w:w="28" w:type="dxa"/>
          <w:left w:w="28" w:type="dxa"/>
          <w:bottom w:w="28" w:type="dxa"/>
          <w:right w:w="28" w:type="dxa"/>
        </w:tblCellMar>
      </w:tblPr>
      <w:tblGrid>
        <w:gridCol w:w="1726"/>
        <w:gridCol w:w="146"/>
        <w:gridCol w:w="211"/>
        <w:gridCol w:w="676"/>
        <w:gridCol w:w="146"/>
        <w:gridCol w:w="146"/>
        <w:gridCol w:w="211"/>
        <w:gridCol w:w="676"/>
        <w:gridCol w:w="146"/>
        <w:gridCol w:w="146"/>
        <w:gridCol w:w="361"/>
        <w:gridCol w:w="824"/>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Income tax expense was $14.6 million for the year ended December 31, 2023, on earnings before income tax of $55.0 million, representing an effective tax rate of 26.6%. The effective tax rate differed from the U.S. Federal statutory rate of 21% primarily due to the unfavorable impact of the global intangible low-tax income ("GILTI"), withholding taxes, other non-deductible expenses, the impact of income taxes on foreign earnings at tax rates varying from the U.S statutory tax rate and the tax effect of a goodwill impairment, partially offset by research development credits and prior year adjustments in various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$13.9 million for the year ended December 31, 2022, on earnings before income tax of $38.4 million, representing an effective tax rate of 36.3%. The effective tax rate differed from the U.S. Federal statutory rate of 21% primarily due to the unfavorable impact of the GILTI, withholding taxes, other non-deductible expenses and acquisition costs and uncertain tax positions, partially offset by certain favorable tax effects on equity vesting, research and development credits in various jurisdictions and the impact of income taxes on foreign earnings taxed at rates varying from the U.S. statutory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cash flows from operations and borrowings available under our Second Amended and Restated Credit Agreement. Our cash requirements consist principally of working capital, capital expenditures, research and development, operating lease payments, income tax payments and general corporate purposes. We generally reinvest available cash flows from operations into our business, while opportunistically utilizing our authorized stock repurchase program. Further, we continuously evaluate acquisition and investment opportunities that will enhance our business strategies.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$149.7 million of cash and cash equivalents and $278.0 million of availability under our Second Amended and Restated Credit Agreement. See Note 13, “Financial Instruments” of the consolidated financial statements included in this Annual Report for details regarding our factoring arrangements.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expect to be able to move funds between different countries to manage our global liquidity needs without material adverse tax implications, subject to current monetary policies and the terms of the Second Amended and Restated Credit Agreement. We utilize a combination of strategies, including dividends, cash pooling arrangements, intercompany loan repayments and other distributions and advances to provide the funds necessary to meet our global liquidity needs. There are no significant restrictions on the ability of our subsidiaries to pay dividends or make other distributions to Gentherm Incorporated. As of December 31, 2023, the Company’s cash and cash equivalents held by our non-U.S. subsidiaries totaled approximately $125.3 million. If additional non-U.S. cash was needed for our U.S. operations, we may be required to accrue and pay withholding if we were to distribute such funds from non-U.S. subsidiaries to the U.S.; however, based on our current liquidity needs and strategies, we do not anticipate a need to accrue and pay such additional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believe that our cash and cash equivalents and borrowings available under our Second Amended and Restated Credit Agreement, receivables factoring arrangements, and cash flows from operations will be adequate to meet anticipated cash requirements for at least the next twelve months and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summarizes our cash activity for each of the last two fiscal years (in thousands): </w:t>
      </w:r>
    </w:p>
    <w:tbl>
      <w:tblPr>
        <w:tblW w:w="7569" w:type="dxa"/>
        <w:jc w:val="left"/>
        <w:tblInd w:w="0" w:type="dxa"/>
        <w:tblLayout w:type="fixed"/>
        <w:tblCellMar>
          <w:top w:w="28" w:type="dxa"/>
          <w:left w:w="28" w:type="dxa"/>
          <w:bottom w:w="28" w:type="dxa"/>
          <w:right w:w="28" w:type="dxa"/>
        </w:tblCellMar>
      </w:tblPr>
      <w:tblGrid>
        <w:gridCol w:w="4596"/>
        <w:gridCol w:w="146"/>
        <w:gridCol w:w="211"/>
        <w:gridCol w:w="841"/>
        <w:gridCol w:w="166"/>
        <w:gridCol w:w="146"/>
        <w:gridCol w:w="211"/>
        <w:gridCol w:w="841"/>
        <w:gridCol w:w="411"/>
      </w:tblGrid>
      <w:tr>
        <w:trPr/>
        <w:tc>
          <w:tcPr>
            <w:tcW w:w="4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(239,899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effect on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totaled $119.3 million and $14.9 million for the years ended December 31, 2023 and 2022, respectively. Cash flow provided by operating activities for the year ended December 31, 2023 consisted primarily of net income of $40.3 million, increased by $66.2 million for non-cash charges for depreciation, amortization, stock based compensation, loss on disposition of property and equipment and other, $6.9 million for inventory provisions, and $19.5 million of goodwill impairment, partially offset by non-cash charges of $13.1 million for deferred income taxes and $0.6 million related to changes in assets and liabilities. Cash flow provided by operating activities for the year ended December 31, 2022 consisted primarily of net income of $24.4 million, increased by $51.8 million for non-cash charges for depreciation, amortization, non-cash stock based compensation, and loss on disposition of property and equipment, $15.9 million for inventory provisions, and impairments of intangible assets and property and equipment of $6.3 million related to the planned exit of the non-automotive electronics business, partially offset by non-cash charges of $7.3 million for deferred income taxes and other, and $76.9 million related to changes in assets and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totaled $24.1 million and $239.9 million for the years ended December 31, 2023 and 2022, respectively. The decrease in usage is primarily attributable to 2022 payments for the Alfmeier and Dacheng acquisitions of $205.5 million, which did not recur, partially offset by the inclusion of a full year of proceeds from deferred purchase price of factored receivables related to Alfmeier during the year ended December 31, 2023 as compared to the year ended December 31, 2022.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totaled $106.1 million for the year ended December 31, 2023 and net cash provided by financing activities totaled $189.9 million for the year ended December 31, 2022. Cash flows used in financing activities for the year ended December 31, 2023 primarily included $91.1 million of cash paid for the repurchase of Common Stock, $72.3 million of debt repayments and $2.9 million paid for employee taxes related to the net settlement of restricted stock units that vested during the year, partially offset by $60.0 million of debt borrowings. Cash flows provided by financing activities for the year ended December 31, 2022 primarily included $207.0 million of debt borrowings to fund acquisitions and $1.7 million of proceeds from the exercise of common stock options, partially offset by $13.1 million of debt repayments and $5.5 million paid for employee taxes related to the net settlement of restricted stock units that vested during the year.</w:t>
      </w:r>
    </w:p>
    <w:p>
      <w:pPr>
        <w:pStyle w:val="TextBody"/>
        <w:bidi w:val="0"/>
        <w:spacing w:before="240" w:after="283"/>
        <w:jc w:val="left"/>
        <w:rPr>
          <w:rFonts w:ascii="Times New Roman" w:hAnsi="Times New Roman"/>
          <w:sz w:val="20"/>
        </w:rPr>
      </w:pPr>
      <w:r>
        <w:rPr>
          <w:rFonts w:ascii="Times New Roman" w:hAnsi="Times New Roman"/>
          <w:b/>
          <w:color w:val="000000"/>
          <w:sz w:val="20"/>
        </w:rPr>
        <w:t>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debt at December 31, 2023 and 2022 (dollars in thousands):</w:t>
      </w:r>
    </w:p>
    <w:tbl>
      <w:tblPr>
        <w:tblW w:w="9789" w:type="dxa"/>
        <w:jc w:val="left"/>
        <w:tblInd w:w="0" w:type="dxa"/>
        <w:tblLayout w:type="fixed"/>
        <w:tblCellMar>
          <w:top w:w="28" w:type="dxa"/>
          <w:left w:w="28" w:type="dxa"/>
          <w:bottom w:w="28" w:type="dxa"/>
          <w:right w:w="28" w:type="dxa"/>
        </w:tblCellMar>
      </w:tblPr>
      <w:tblGrid>
        <w:gridCol w:w="4211"/>
        <w:gridCol w:w="146"/>
        <w:gridCol w:w="168"/>
        <w:gridCol w:w="538"/>
        <w:gridCol w:w="271"/>
        <w:gridCol w:w="146"/>
        <w:gridCol w:w="211"/>
        <w:gridCol w:w="781"/>
        <w:gridCol w:w="166"/>
        <w:gridCol w:w="146"/>
        <w:gridCol w:w="310"/>
        <w:gridCol w:w="995"/>
        <w:gridCol w:w="271"/>
        <w:gridCol w:w="146"/>
        <w:gridCol w:w="211"/>
        <w:gridCol w:w="781"/>
        <w:gridCol w:w="2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Revolving Note (U.S. Dollar denominations)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232,000</w:t>
            </w:r>
          </w:p>
        </w:tc>
        <w:tc>
          <w:tcPr>
            <w:tcW w:w="291" w:type="dxa"/>
            <w:tcBorders/>
            <w:shd w:fill="FFFFFF" w:val="clear"/>
            <w:vAlign w:val="center"/>
          </w:tcPr>
          <w:p>
            <w:pPr>
              <w:pStyle w:val="TableContents"/>
              <w:bidi w:val="0"/>
              <w:spacing w:before="0" w:after="283"/>
              <w:jc w:val="left"/>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loans</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 - 5.21%</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291" w:type="dxa"/>
            <w:tcBorders/>
            <w:shd w:fill="CFF0FC" w:val="clear"/>
            <w:vAlign w:val="center"/>
          </w:tcPr>
          <w:p>
            <w:pPr>
              <w:pStyle w:val="TableContents"/>
              <w:bidi w:val="0"/>
              <w:spacing w:before="0" w:after="283"/>
              <w:jc w:val="left"/>
              <w:rPr/>
            </w:pPr>
            <w:r>
              <w:rPr/>
              <w:t> </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235,096</w:t>
            </w:r>
          </w:p>
        </w:tc>
        <w:tc>
          <w:tcPr>
            <w:tcW w:w="291" w:type="dxa"/>
            <w:tcBorders/>
            <w:shd w:fill="CFF0FC" w:val="clear"/>
            <w:vAlign w:val="center"/>
          </w:tcPr>
          <w:p>
            <w:pPr>
              <w:pStyle w:val="TableContents"/>
              <w:bidi w:val="0"/>
              <w:spacing w:before="0" w:after="283"/>
              <w:jc w:val="left"/>
              <w:rPr/>
            </w:pPr>
            <w:r>
              <w:rPr/>
              <w:t> </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together with certain of its subsidiaries, maintain a revolving credit note (“U.S. Revolving Note”) under its Second Amended and Restated Credit Agreement (the “Second Amended and Restated Credit Agreement”) with a consortium of lenders and Bank of America, N.A. as administrative agent. The Second Amended and Restated Credit Agreement was entered into on June 10, 2022 and amends and restates in its entirety the Amended and Restated Credit Agreement dated June 27, 2019, by and among Gentherm, certain of its direct and indirect subsidiaries, the lenders party thereto and the Agent. The Second Amended and Restated Credit Agreement has a maximum borrowing capacity of $500 million and matures on June 10, 2027. The Second Amended and Restated Credit Agreement contains covenants, that, among other things, (i) prohibit or limit the ability of the borrowers and any material subsidiary to incur additional indebtedness, create liens, pay dividends, make certain types of investments (including acquisitions),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and 2022, there was $0.6 million and $1.1 million of outstanding finance leases,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Other 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Receivable Factoring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party to receivable factoring agreements with unrelated third parties under which we can sell receivables for certain account debtors, on a revolving basis, subject to outstanding balances and concentration limits. The receivable factoring agreements are transferred in their entirety to the acquiring entities and are accounted for as a sale. Some of the agreements, including those assumed through the acquisition of Alfmeier, have deferred purchase price arrangements. See Note 13, “Financial Instruments” of the consolidated financial statements included in this Annual Report for further details regarding our factoring arrangements.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current and long-term material cash requirements as of December 31, 2023, which we expect to fund primarily with operating cash flows. </w:t>
      </w:r>
    </w:p>
    <w:tbl>
      <w:tblPr>
        <w:tblW w:w="10205" w:type="dxa"/>
        <w:jc w:val="left"/>
        <w:tblInd w:w="0" w:type="dxa"/>
        <w:tblLayout w:type="fixed"/>
        <w:tblCellMar>
          <w:top w:w="28" w:type="dxa"/>
          <w:left w:w="28" w:type="dxa"/>
          <w:bottom w:w="28" w:type="dxa"/>
          <w:right w:w="28" w:type="dxa"/>
        </w:tblCellMar>
      </w:tblPr>
      <w:tblGrid>
        <w:gridCol w:w="2990"/>
        <w:gridCol w:w="146"/>
        <w:gridCol w:w="211"/>
        <w:gridCol w:w="781"/>
        <w:gridCol w:w="146"/>
        <w:gridCol w:w="146"/>
        <w:gridCol w:w="298"/>
        <w:gridCol w:w="958"/>
        <w:gridCol w:w="146"/>
        <w:gridCol w:w="146"/>
        <w:gridCol w:w="251"/>
        <w:gridCol w:w="680"/>
        <w:gridCol w:w="146"/>
        <w:gridCol w:w="146"/>
        <w:gridCol w:w="211"/>
        <w:gridCol w:w="781"/>
        <w:gridCol w:w="146"/>
        <w:gridCol w:w="146"/>
        <w:gridCol w:w="361"/>
        <w:gridCol w:w="976"/>
        <w:gridCol w:w="393"/>
      </w:tblGrid>
      <w:tr>
        <w:trPr/>
        <w:tc>
          <w:tcPr>
            <w:tcW w:w="2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Payments Due by Period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Material Cash Requirements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 5 years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obligations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8"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393" w:type="dxa"/>
            <w:tcBorders/>
            <w:shd w:fill="FFFFFF" w:val="clear"/>
            <w:vAlign w:val="center"/>
          </w:tcPr>
          <w:p>
            <w:pPr>
              <w:pStyle w:val="TableContents"/>
              <w:bidi w:val="0"/>
              <w:spacing w:before="0" w:after="283"/>
              <w:jc w:val="left"/>
              <w:rPr/>
            </w:pPr>
            <w:r>
              <w:rPr/>
              <w:t> </w:t>
            </w:r>
          </w:p>
        </w:tc>
      </w:tr>
      <w:tr>
        <w:trPr/>
        <w:tc>
          <w:tcPr>
            <w:tcW w:w="29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obligations (3)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jc w:val="left"/>
              <w:rPr/>
            </w:pPr>
            <w:r>
              <w:rPr/>
              <w:t> </w:t>
            </w:r>
          </w:p>
        </w:tc>
      </w:tr>
      <w:tr>
        <w:trPr/>
        <w:tc>
          <w:tcPr>
            <w:tcW w:w="29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commitments (4)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9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Long-term debt obligations do not include an amount payable for interest. See Note 9, “Debt,” to the consolidated financial statements included in this Annual Report for additional information.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See Note 8, “Leases,” to the consolidated financial statements included in this Annual Report for additional information.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Purchase obligations are comprised of commitments to secure the supply of certain semiconductor chips. We have entered into agreements with various suppliers to reserve the rights to certain semiconductor chips, with volume commitments determined based on our anticipated production requirements. Such agreements provide the Company with priority access to semiconductor chips as they become available, however, these agreements do not guarantee that our suppliers will meet our requested timing and quantity. We have not included amounts for other material and component purchase obligations related to standard recurring purchases of materials for use in our manufacturing operations as these amounts are generally consistent from year to year, closely reflect our levels of production, and are not long-term in nature.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Capital commitments is comprised of commitments for capital expenditures. Such commitments are typically less than one year.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2023, the Company committed to a restructuring plan to improve the Company’s manufacturing productivity and rationalize its footprint. As of December 31, 2023, the Company expects to incur total costs of between $12 million and $16 million, of which between $11 million and $15 million are expected to be cash expenditures. See Note 5, “Restructuring and Impairments” to the consolidated financial statements included in this Annual Report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committed to make a $5 million investment in Autotech Fund III, L.P., pursuant to a limited partnership agreement. As a limited partner, the Company will periodically make capital contributions toward this total commitment amount over the expected ten year life of the fund. The Company has made contributions of approximately $0.8 million to the Autotech Fund III, LP as of December 31, 2023. Timing of the capital contributions is unknown and therefore amounts have been excluded from the Material Cash Requirements table above.</w:t>
      </w:r>
    </w:p>
    <w:p>
      <w:pPr>
        <w:pStyle w:val="TextBody"/>
        <w:bidi w:val="0"/>
        <w:spacing w:before="240" w:after="283"/>
        <w:jc w:val="left"/>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capital expenditures in fiscal year 2024 of approximately $65 million to $75 million. This anticipated spending is higher than prior years due to increased investments for the ramp-up of new capacity including the two new plants as a result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new awards. We will continue support organic growth through capacity expansion in our facilities and make capital improvements as necessary. We believe cash on hand, cash generated from operations, and the borrowing capacity available under our Second Amended and Restated Credit Agreement will be sufficient to support our capital expenditures.</w:t>
      </w:r>
    </w:p>
    <w:p>
      <w:pPr>
        <w:pStyle w:val="TextBody"/>
        <w:bidi w:val="0"/>
        <w:spacing w:before="240" w:after="283"/>
        <w:jc w:val="left"/>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11, 2020, the Board of Directors authorized the 2020 Stock Repurchase Program, pursuant to which the Company is authorized to repurchase up to $150 million of its issued and outstanding Common Stock over a three-year period, expiring December 15, 2023. On November 1, 2023, the Board of Directors extended the maturity date of the program from December 15, 2023 to June 30, 2024. During the year ended December 31, 2023, the Company repurchased shares under the 2020 Stock Repurchase Program for $92.5 million and have a remaining repurchase authorization of $37.5 million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Repurchases may be made, from time to time, in amounts and at prices the Company deems appropriate, subject to market conditions, applicable legal requirements, debt covenants and other considerations. Any such repurchases may be executed using open market purchases, privately negotiated agreements or other transactions. Repurchases may be funded from cash on hand, available borrowings or proceeds from potential debt or other capital markets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 2023, following the above-noted extension, the Company entered into a Confirmation of Issuer Forward Repurchase Transaction agreement (the “ASR Agreement”) with Bank of America, N.A. (“Bank of America”) that provides for the Company to purchase shares of Common Stock in an aggregate amount of $60 million (“ASR Repurchase Amount”) under the 2020 Stock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ASR Agreement, on November 2, 2023, the Company paid $60 million to Bank of America for an initial purchase of approximately 1.22 million shares of Common Stock, representing 80% of ASR Repurchase Amount. The final settlement date is scheduled to occur no later than the second quarter of 2024 and may end earlier at the option of Bank of America. As of the final settlement date, Bank of America may be required to deliver additional shares of Common Stock to the Company or the Company may be required to deliver shares of Common Stock to Bank America, such that the Company’s repurchase of Common Stock under the ASR Agreement in aggregate will equal the ASR Repurchase Amount (based on the average of the daily volume-weighted average prices of the Common Stock during the term of the ASR Agreement, less a specified discount). There is no cash requirement as of the final settlement date and therefore it is not reflected in the Material Cash Requirements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ASR Agreement contains provisions customary for agreements of this type, including the mechanisms to determine the number of shares of Common Stock that will be delivered at settlement, the required timing of delivery of the shares of Common Stock, the circumstances under which Bank of America is permitted to make adjustments to the transaction terms, the circumstances under which the ASR Agreement may be accelerated, extended or terminated early by Bank of America and specified representations and warranties of each party to the other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further information related to our stock repurchase program, see Note 15, "Equity" in the notes to the consolidated financial statements included in this Annual Report.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automotive component supply industry has historically been subject to inflationary pressures with respect to materials and labor. Since 2021, the automotive industry has experienced a period of significant volatility in the costs of certain materials and components, labor and transportation. Although supply chain conditions have steadily improved and certain inflationary pressures have moderated throughout fiscal year 2023, rising costs of materials, labor, equipment and other inputs used to manufacture and sell our products, including freight and logistics costs, have impacted, and may in the future impact, operating costs and operating results. These higher costs and cost increases due to inflation are expected to continue for the foreseeable future as demand remains elevated and supply remains constrained. Although the Company has developed and implemented strategies to mitigate the impact of higher material component costs and transportation costs through sourcing and manufacturing efficiencies where possible, these strategies together with commercial negotiations with Gentherm's customers and suppliers have not fully offset to date and may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fully offset our future cost increases. Such inflationary cost increase may increase the cash required to fund our operations by a material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accounting principles generally accepted in the United States of America (“GAAP”). In preparing these consolidated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outside sources, as appropriate. These estimates and assumptions are subject to an inherent degree of uncertainty. Because future events and their effects cannot be determined with certainty, actual results could differ from our assumptions and estimates, and such differences could be material to our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identified the following estimates as our most critical accounting estimates, which are those that are most important to aid in fully understanding and evaluating the Company’s financial condition and results of operations, and that require management’s most subjective and complex judgments. Information regarding our other significant accounting estimates and policies are disclosed in Note 2, "Summary of Significant Accounting Policies", of the notes to the consolidated 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Impairments of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Critical estimates:</w:t>
      </w:r>
      <w:r>
        <w:rPr>
          <w:rFonts w:ascii="Times New Roman" w:hAnsi="Times New Roman"/>
          <w:color w:val="000000"/>
          <w:sz w:val="20"/>
        </w:rPr>
        <w:t xml:space="preserve"> Goodwill is tested for impairment at least annually as of December 31 and whenever events or changes in circumstances indicate that the carrying value may not be recoverable. In conducting our annual impairment assessment testing, we first perform a qualitative assessment of whether it is more likely than not that a reporting unit’s fair value is less than its carrying amount. If not, no further goodwill impairment testing is performed.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an income approach to estimate the fair value of a reporting unit and a market valuation approach to further support this analysis. The income approach is based on projected debt-free cash flow that is discounted to the present value using discount factors that consider the timing and risk of cash flows. We believe that this approach is appropriate because it provides a fair value estimate based on the reporting unit’s expected long-term operating cash flow performance. This approach also mitigates the impact of cyclical trends that occur in our industry. Fair value is estimated using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to reflect risk, if necessary. Other significant assumptions include terminal value growth rates and terminal value margin rates. To further support the fair value estimate determined by the income approach, the Company utilizes a market valuation approach to estimate the fair value of a reporting unit. The market approach considers historical and/or anticipated financial metrics of a reporting unit and applies valuation multiples based on recent observed transactions involving companies similar enough to the reporting units from which to draw meaningful conclusions.</w:t>
      </w:r>
    </w:p>
    <w:p>
      <w:pPr>
        <w:pStyle w:val="TextBody"/>
        <w:bidi w:val="0"/>
        <w:spacing w:before="120" w:after="283"/>
        <w:jc w:val="left"/>
        <w:rPr>
          <w:rFonts w:ascii="Times New Roman" w:hAnsi="Times New Roman"/>
          <w:sz w:val="20"/>
        </w:rPr>
      </w:pPr>
      <w:r>
        <w:rPr>
          <w:rFonts w:ascii="Times New Roman" w:hAnsi="Times New Roman"/>
          <w:i/>
          <w:color w:val="000000"/>
          <w:sz w:val="20"/>
        </w:rPr>
        <w:t>Judgments and uncertainties:</w:t>
      </w:r>
      <w:r>
        <w:rPr>
          <w:rFonts w:ascii="Times New Roman" w:hAnsi="Times New Roman"/>
          <w:color w:val="000000"/>
          <w:sz w:val="20"/>
        </w:rPr>
        <w:t xml:space="preserve"> These fair value calculations contain uncertainties as they require management to make assumptions about future cash flows and appropriate discount rates to reflect the risk inherent in the future cash flows and to derive a reasonable enterprise value and related premium. Our ability to realize the future cash flows used in our fair value calculations is affected by factors such as the success of strategic initiatives, changes in economic conditions, changes in our operating performance and changes in our business strategies. The estimated future cash flows reflect management's latest assumptions of the financial projections based on current and anticipated competitive landscape, including estimates of revenue based on production volumes over the foreseeable future and long-term growth rates, and operating margins based on historical trends and future cost containment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market valuation approach is highly subjective as it requires the selection of comparable companies and valuation multiples.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Impact if actual results differ from assumptions: </w:t>
      </w:r>
      <w:r>
        <w:rPr>
          <w:rFonts w:ascii="Times New Roman" w:hAnsi="Times New Roman"/>
          <w:color w:val="000000"/>
          <w:sz w:val="20"/>
        </w:rPr>
        <w:t>As of December 31, 2023, our goodwill balance included $76.7 million related to our Automotive segment and $27.4 million related to our Medical segment. These balances could be fully or partially impaired if management does not achieve the expected cash flows assumed in the fair value estimates or if assumptions and cash flow estimates change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Medical segment is comprised of one reporting unit (the “Medical Reporting Unit”). The estimated fair value of the Medical Reporting Unit exceeded its carrying value by less than 10% as of December 31, 2022. During the second quarter of 2023, the Company’s Medical reporting unit did not perform in-line with forecasted results primarily driven by slower than anticipated revenue growth. As a result, an indicator of impairment was identified and the Company performed an interim quantitative assessment as of June 30, 2023. The results of this quantitative analysis indicated the carrying value of the reporting unit exceeded the fair value, and accordingly an impairment expense was recorded for $19.5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factors leading to the decline in value from the analysis performed at December 31, 2022 were a reduction in expected future cash flows, due to the Company re-evaluating its forecasted results and an increase in the discount rate that is based on the Medical reporting unit’s weighted average cost of capital. The decline in expected future cash flows resulted primarily from a reduction of forecasted revenue growth rates. If the Company’s revised expectation of revenue growth is not achieved or if the estimated growth rates are reduced because of new information or experience, the fair value of the Medical reporting unit could decrease, which could result in further impairment of goodwill. No further impairment was recorded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estimated fair value of the Medical Reporting Unit exceeded it's carrying value by less than 15%. The Medical Reporting Unit is at risk of failing future impairment tests, as the estimate of fair value does not substantially exceed its carrying value. The Company’s estimated future cash flow projections for the Medical Reporting Unit for the period of 2024 through 2028 assume a compound annual growth rate for revenue of approximately 18.3%, which we deem to be a critical assumption in the fair value determination as of December 31, 2023. This forecasted revenue growth, which is significantly higher than historical periods, is primarily driven by our anticipated participation in China's high-growth market for patient warming devices and anticipated product launches that are expected to increase volume and price due to new features and product capabilities. Realization of this assumed revenue growth is dependent on the successful launch of these new products and product features and the acceptance of customers. If this revenue growth is not achieved or if the estimated growth rates are reduced because of new information or experience, the fair value of the Medical Reporting Unit could decrease, which could result in a material impairment of goodwill. Additionally, forecasted cash flows assume margin expansion as a direct result of the forecasted revenue growth. If we experience higher costs than assumed in our forecast or if we experience other deviations from forecasted results and/or external factors (e.g., continued increasing of interest rates), it could result in a material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reporting units in its Automotive segment each have a fair value that is substantially in excess of its respective carrying value as of December 31, 2023.</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Critical estimates:</w:t>
      </w:r>
      <w:r>
        <w:rPr>
          <w:rFonts w:ascii="Times New Roman" w:hAnsi="Times New Roman"/>
          <w:color w:val="000000"/>
          <w:sz w:val="20"/>
        </w:rPr>
        <w:t xml:space="preserve"> The Company is subject to income taxes in the United States and numerous international jurisdictions. In calculating our effective income tax rate, we make judgments regarding certain tax positions, including the timing and amount of deductions and allocations of income among various tax jurisdictions. When determining whether we will be able to realize deferred tax assets, judgment is used to evaluate the positive and negative evidence, including forecasting taxable income using historical and future operating results. The provision for income taxes includes current income taxes as well as deferred income taxes. Deferred tax assets and liabilities are measured based on the difference between the financial statement and tax base of assets and liabilities at the applicable enacted tax rates. </w:t>
      </w:r>
    </w:p>
    <w:p>
      <w:pPr>
        <w:pStyle w:val="TextBody"/>
        <w:bidi w:val="0"/>
        <w:spacing w:before="120" w:after="283"/>
        <w:jc w:val="left"/>
        <w:rPr>
          <w:rFonts w:ascii="Times New Roman" w:hAnsi="Times New Roman"/>
          <w:sz w:val="20"/>
        </w:rPr>
      </w:pPr>
      <w:r>
        <w:rPr>
          <w:rFonts w:ascii="Times New Roman" w:hAnsi="Times New Roman"/>
          <w:i/>
          <w:color w:val="000000"/>
          <w:sz w:val="20"/>
        </w:rPr>
        <w:t>Judgments and uncertainties:</w:t>
      </w:r>
      <w:r>
        <w:rPr>
          <w:rFonts w:ascii="Times New Roman" w:hAnsi="Times New Roman"/>
          <w:color w:val="000000"/>
          <w:sz w:val="20"/>
        </w:rPr>
        <w:t xml:space="preserve"> We have various tax filing positions with regard to the timing and amount of deductions and credits and the allocation of income among various tax jurisdictions, based on our interpretation of local tax laws, supported by external advisor review for material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Valuation allowances are established when necessary on a jurisdictional basis to reduce deferred tax assets to the amounts expected to be realized when management considers it more likely than not that some portion or all of a deferred tax asset will not be realized. The determination as to whether a deferred tax asset will be realized is based on the evaluation of positive and negative evidence, which includes historical profitability, future market growth, future taxable income, the expected timing of the reversals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temporary differences and tax planning strategies. The Company assesses deferred taxes and the adequacy or need for a valuation allowance on a quarterly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ongoing tax examinations and assessments in various jurisdictions. At any time, multiple tax years are subject to audit by the various tax authorities and a number of years may elapse before a particular matter, for which a liability has been established, is audited and fully resolved or clarified. In evaluating the exposures associated with various tax filing positions, the Company may record liabilities for such exposures. The Company generally adjusts its liabilities for unrecognized tax benefits and related indemnification obligations through earnings in the period in which an uncertain tax position is effectively settled, the statute of limitations expires for the relevant taxing authority to examine the tax position, or when more information becomes available. Although management believes that the judgments and estimates discussed herein are reasonable, actual results could differ, and may materially increase or decrease the effective tax rate, as well as impact the Company’s operating results.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Impact if actual results differ from assumptions: </w:t>
      </w:r>
      <w:r>
        <w:rPr>
          <w:rFonts w:ascii="Times New Roman" w:hAnsi="Times New Roman"/>
          <w:color w:val="000000"/>
          <w:sz w:val="20"/>
        </w:rPr>
        <w:t xml:space="preserve">Some or all of management’s judgments are subject to review by the taxing authorities. If one or more of the taxing authorities were to successfully challenge our right to realize some or all of the tax benefit we have recorded, and we were unable to realize this benefit, it could have a material adverse effect on our financial results and cash flows. Further, if the Company is unable to generate sufficient future taxable income, there is a material change in the actual effective tax rates, a change to the time period within which the underlying temporary differences become taxable or deductible, or if the tax laws change unfavorably, then the Company could be required to increase the valuation allowance against deferred tax assets, resulting in an increase in income tax expense and the effective tax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each change of the effective tax rate by one percentage point would impact income tax expense by $0.5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complete description of recent accounting standards which we have not yet been required to implement which may be applicable to our operations, as well as significant accounting standards that have been adopted during the year ended December 31, 2023, see Note 3, “New Accounting Pronouncements,” to the consolidated financial statements included in this Annual Report.</w:t>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_7a"/>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various market risks including, but not limited to, changes in foreign currency exchange rates, changes in interest rates and price fluctuations of certain material commodities such as copper. Market risks for changes in interest rates relate primarily to the Company's debt obligations under the Second Amended and Restated Credit Agreement. Foreign currency exchange risks are attributable to sales to foreign customers and purchases from foreign suppliers not denominated in a location’s functional currency, foreign plant operations, intercompany indebtedness, acquisitions denominated in foreign currencies, intercompany investments and include exposures to the Euro, Mexican Peso, Canadian Dollar, Hungarian Forint, North Macedonian Denar, Ukrainian Hryvnia, Japanese Yen, Chinese Renminbi, Korean Won, Czech Koruna and Vietnamese Dong.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 Some derivative contracts do not qualify for hedge accounting; for other derivative contracts, we elect to not apply hedge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that can be classified as a cash flow hedge, the effective portion of the change in the fair value of the derivative is recorded to Accumulated other comprehensive loss in the consolidated balance sheets. When the underlying hedge transaction is realized, the gain or loss included in Accumulated other comprehensive loss is recorded in earnings in the consolidated statements of income on the same line as the gain or loss on the hedged item attributable to the hedged risk. The Company records the ineffective portion of foreign currency and copper commodity hedging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instruments, if any, to cost of sales, and the ineffective portion of interest rate swaps, if any, to interest expense in the consolidated statements of income. Cash flows associated with derivatives are reported in net cash provided by operating activities in the Company’s 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related to the fair values of all derivative instruments in our consolidated balance sheet as of December 31, 2023 is set forth in Note 13, “Financial Instruments” in the consolidated financial statements included in this Annual Report.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Rate Sensitivity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presents principal cash flows and related weighted average interest rates by expected maturity dates for each of the Company’s debt obligations, excluding finance leases. The information is presented in U.S. dollar equivalents, which is the Company’s reporting currency. </w:t>
      </w:r>
    </w:p>
    <w:tbl>
      <w:tblPr>
        <w:tblW w:w="10205" w:type="dxa"/>
        <w:jc w:val="left"/>
        <w:tblInd w:w="0" w:type="dxa"/>
        <w:tblLayout w:type="fixed"/>
        <w:tblCellMar>
          <w:top w:w="28" w:type="dxa"/>
          <w:left w:w="28" w:type="dxa"/>
          <w:bottom w:w="28" w:type="dxa"/>
          <w:right w:w="28" w:type="dxa"/>
        </w:tblCellMar>
      </w:tblPr>
      <w:tblGrid>
        <w:gridCol w:w="3266"/>
        <w:gridCol w:w="146"/>
        <w:gridCol w:w="211"/>
        <w:gridCol w:w="466"/>
        <w:gridCol w:w="271"/>
        <w:gridCol w:w="146"/>
        <w:gridCol w:w="211"/>
        <w:gridCol w:w="346"/>
        <w:gridCol w:w="146"/>
        <w:gridCol w:w="146"/>
        <w:gridCol w:w="211"/>
        <w:gridCol w:w="346"/>
        <w:gridCol w:w="146"/>
        <w:gridCol w:w="146"/>
        <w:gridCol w:w="211"/>
        <w:gridCol w:w="781"/>
        <w:gridCol w:w="271"/>
        <w:gridCol w:w="146"/>
        <w:gridCol w:w="211"/>
        <w:gridCol w:w="781"/>
        <w:gridCol w:w="271"/>
        <w:gridCol w:w="146"/>
        <w:gridCol w:w="211"/>
        <w:gridCol w:w="781"/>
        <w:gridCol w:w="191"/>
      </w:tblGrid>
      <w:tr>
        <w:trPr/>
        <w:tc>
          <w:tcPr>
            <w:tcW w:w="3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Date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26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Debt:</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rate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91" w:type="dxa"/>
            <w:tcBorders/>
            <w:shd w:fill="CFF0FC" w:val="clear"/>
            <w:vAlign w:val="center"/>
          </w:tcPr>
          <w:p>
            <w:pPr>
              <w:pStyle w:val="TableContents"/>
              <w:bidi w:val="0"/>
              <w:spacing w:before="0" w:after="283"/>
              <w:jc w:val="left"/>
              <w:rPr/>
            </w:pPr>
            <w:r>
              <w:rPr/>
              <w:t> </w:t>
            </w:r>
          </w:p>
        </w:tc>
      </w:tr>
      <w:tr>
        <w:trPr/>
        <w:tc>
          <w:tcPr>
            <w:tcW w:w="3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interest rate as of December 31, 2023</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rate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shd w:fill="CFF0FC" w:val="clear"/>
            <w:vAlign w:val="center"/>
          </w:tcPr>
          <w:p>
            <w:pPr>
              <w:pStyle w:val="TableContents"/>
              <w:bidi w:val="0"/>
              <w:spacing w:before="0" w:after="283"/>
              <w:jc w:val="left"/>
              <w:rPr/>
            </w:pPr>
            <w:r>
              <w:rPr/>
              <w:t> </w:t>
            </w:r>
          </w:p>
        </w:tc>
      </w:tr>
      <w:tr>
        <w:trPr/>
        <w:tc>
          <w:tcPr>
            <w:tcW w:w="3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interest rate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amounts outstanding as of December 31, 2023, a hypothetical 100 basis point change (increase or decrease) in interest rates would impact annual interest expense by $2.2 million. To hedge the Company's exposure to interest payment fluctuations on a portion of the borrowings, we entered into a floating-to-fixed interest rate swap agreement with a notional amount of $100.0 million.</w:t>
      </w:r>
    </w:p>
    <w:p>
      <w:pPr>
        <w:pStyle w:val="TextBody"/>
        <w:bidi w:val="0"/>
        <w:spacing w:before="240" w:after="283"/>
        <w:jc w:val="left"/>
        <w:rPr>
          <w:rFonts w:ascii="Times New Roman" w:hAnsi="Times New Roman"/>
          <w:sz w:val="20"/>
        </w:rPr>
      </w:pPr>
      <w:r>
        <w:rPr>
          <w:rFonts w:ascii="Times New Roman" w:hAnsi="Times New Roman"/>
          <w:i/>
          <w:color w:val="000000"/>
          <w:sz w:val="20"/>
        </w:rPr>
        <w:t>Exchange Rate Sensitivity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provides information about the Company’s foreign currency forward exchange rate agreements that are sensitive to changes in foreign currency exchange rates. The table presents the notional amounts and weighted average exchange rates by expected (contractual) maturity dates for each type of foreign currency forward exchange agreement. These notional amounts generally are used to calculate the contractual payments to be exchanged under the contract. </w:t>
      </w:r>
    </w:p>
    <w:tbl>
      <w:tblPr>
        <w:tblW w:w="8840"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11"/>
        <w:gridCol w:w="676"/>
        <w:gridCol w:w="146"/>
        <w:gridCol w:w="146"/>
        <w:gridCol w:w="211"/>
        <w:gridCol w:w="781"/>
        <w:gridCol w:w="146"/>
        <w:gridCol w:w="146"/>
        <w:gridCol w:w="247"/>
        <w:gridCol w:w="668"/>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or Transaction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Anticipated Transactions and Related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USD Functional Currency</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Forward Exchange Agreements:</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(Receive MXN / Pay USD)</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amount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w:t>
            </w:r>
          </w:p>
        </w:tc>
        <w:tc>
          <w:tcPr>
            <w:tcW w:w="19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contract rate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presents the potential gain and loss in fair value for the foreign currency derivative contracts from a hypothetical 10% change in quoted currency exchange rates.</w:t>
      </w:r>
    </w:p>
    <w:tbl>
      <w:tblPr>
        <w:tblW w:w="10205" w:type="dxa"/>
        <w:jc w:val="left"/>
        <w:tblInd w:w="0" w:type="dxa"/>
        <w:tblLayout w:type="fixed"/>
        <w:tblCellMar>
          <w:top w:w="28" w:type="dxa"/>
          <w:left w:w="28" w:type="dxa"/>
          <w:bottom w:w="28" w:type="dxa"/>
          <w:right w:w="28" w:type="dxa"/>
        </w:tblCellMar>
      </w:tblPr>
      <w:tblGrid>
        <w:gridCol w:w="3048"/>
        <w:gridCol w:w="146"/>
        <w:gridCol w:w="397"/>
        <w:gridCol w:w="1076"/>
        <w:gridCol w:w="146"/>
        <w:gridCol w:w="146"/>
        <w:gridCol w:w="403"/>
        <w:gridCol w:w="1094"/>
        <w:gridCol w:w="146"/>
        <w:gridCol w:w="146"/>
        <w:gridCol w:w="397"/>
        <w:gridCol w:w="1076"/>
        <w:gridCol w:w="146"/>
        <w:gridCol w:w="146"/>
        <w:gridCol w:w="403"/>
        <w:gridCol w:w="1094"/>
        <w:gridCol w:w="195"/>
      </w:tblGrid>
      <w:tr>
        <w:trPr/>
        <w:tc>
          <w:tcPr>
            <w:tcW w:w="3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Exchange Rate Sensitivity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Potential gain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Potential gain in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Forward Exchange Agreement:(Receive MXN / Pay USD)</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5" w:name="item_8"/>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audited consolidated financial statements and related financial information required to be filed hereunder are indexed on page F-1 of this Annual Report and are incorporated herein by reference. </w:t>
      </w:r>
    </w:p>
    <w:p>
      <w:pPr>
        <w:pStyle w:val="TextBody"/>
        <w:bidi w:val="0"/>
        <w:spacing w:before="240" w:after="283"/>
        <w:jc w:val="left"/>
        <w:rPr>
          <w:rFonts w:ascii="Times New Roman" w:hAnsi="Times New Roman"/>
          <w:sz w:val="20"/>
        </w:rPr>
      </w:pPr>
      <w:bookmarkStart w:id="16" w:name="item_9"/>
      <w:bookmarkEnd w:id="16"/>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7" w:name="item_9a"/>
      <w:bookmarkEnd w:id="17"/>
      <w:r>
        <w:rPr>
          <w:rFonts w:ascii="Times New Roman" w:hAnsi="Times New Roman"/>
          <w:b/>
          <w:caps/>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of the Company, under the supervision and with the participation of the Chief Executive Officer and the Chief Financial Officer, carried out an evaluation of the effectiveness of the design and operation of the Company’s disclosure controls and procedures as of December 31, 2023. As defined in Rules 13a-15(e) and 15d-15(e) under the Securities Exchange Act of 1934 (as amended, the “Exchange Act”), disclosure controls and procedures are controls and procedures designed to provide reasonable assurance that information required to be disclosed in reports filed or submitted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upon this evaluation, the Chief Executive Officer and Chief Financial Officer have concluded that the Company’s disclosure controls and procedures were effective as of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such term is defined in Exchange Act Rules 13a-15(f) and 15d-15(f),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Under the supervision and with the participation of the Chief Executive Officer and Chief Financial Officer, management conducted an evaluation of the effectiveness of the Company’s internal control over financial reporting as of December 31, 2023 based on the framework set forth by the Committee of Sponsoring Organizations of the Treadway Commission (COSO) in “Internal Control-Integrated Framework (2013).” Based on that evaluation, management has concluded that the Company’s internal control over financial reporting was effective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attestation report of the Company’s independent registered public accounting firm, regarding the effectiveness of the Company’s internal control over financial reporting, is set forth in Item 15, "Exhibits and Financial Statement Schedules," included under the caption "Report of Independent Registered Public Accounting Firm".</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w:t>
      </w:r>
    </w:p>
    <w:p>
      <w:pPr>
        <w:pStyle w:val="TextBody"/>
        <w:bidi w:val="0"/>
        <w:spacing w:before="240" w:after="283"/>
        <w:jc w:val="left"/>
        <w:rPr>
          <w:rFonts w:ascii="Times New Roman" w:hAnsi="Times New Roman"/>
          <w:sz w:val="20"/>
        </w:rPr>
      </w:pPr>
      <w:bookmarkStart w:id="18" w:name="item_9b"/>
      <w:bookmarkEnd w:id="18"/>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set forth below, during the three months ended December 31, 2023, none of the Company's directors or Section 16 officers adopted or terminated (i) any contract, instruction or written plan for the purchase or sale of Company securities that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intended to satisfy the affirmative defense conditions of Rule 10b5-1(c) of the Exchange Act or (ii) any non-Rule 10b5-1 trading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6, 2023, Phillip Eyler, our President and Chief Executive Officer and a director of our Board, entered into a trading plan intended to satisfy the affirmative defense conditions of Rule 10b5-1(c) of the Exchange Act. The trading plan provides for the sale of up to 134,684 shares of our Common Stock upon the exercise of stock options; such stock options have an expiration date of December 4, 2024. The trading plan expires on November 29, 2024 or such earlier date when all transactions under the trading plan are completed.</w:t>
      </w:r>
    </w:p>
    <w:p>
      <w:pPr>
        <w:pStyle w:val="TextBody"/>
        <w:bidi w:val="0"/>
        <w:spacing w:before="240" w:after="283"/>
        <w:jc w:val="left"/>
        <w:rPr>
          <w:rFonts w:ascii="Times New Roman" w:hAnsi="Times New Roman"/>
          <w:sz w:val="20"/>
        </w:rPr>
      </w:pPr>
      <w:bookmarkStart w:id="19" w:name="item_9c"/>
      <w:bookmarkEnd w:id="19"/>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20" w:name="part_iii"/>
      <w:bookmarkEnd w:id="20"/>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1" w:name="item_10"/>
      <w:bookmarkEnd w:id="21"/>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under the following captions in our proxy statement to be filed with respect to the 2024 annual meeting of shareholders (the “Proxy Statement”), all of which is incorporated herein by reference: “Proposal No. 1 – Election of Directors”, “Board Matters – The Board of Directors”, “Board Matters – Standing Committees of the Board”, “Board Matters – Corporate Governance”, “Executive Officers” and “Additional Information – Requirements for Submission of Shareholder Proposals and Nominations for 2025 Annual Meeting.”</w:t>
      </w:r>
    </w:p>
    <w:p>
      <w:pPr>
        <w:pStyle w:val="TextBody"/>
        <w:bidi w:val="0"/>
        <w:spacing w:before="240" w:after="283"/>
        <w:jc w:val="left"/>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set forth under the following captions in our Proxy Statement, all of which is incorporated herein by reference: “Board Matters – Director Compensation”, “Compensation Discussion &amp; Analysis”, “Compensation and Talent Committee Report”, “Named Executive Officer Compensation Tables”, “Pay Versus Performance” and “CEO Pay Ratio.”</w:t>
      </w:r>
    </w:p>
    <w:p>
      <w:pPr>
        <w:pStyle w:val="TextBody"/>
        <w:bidi w:val="0"/>
        <w:spacing w:before="240" w:after="283"/>
        <w:jc w:val="left"/>
        <w:rPr>
          <w:rFonts w:ascii="Times New Roman" w:hAnsi="Times New Roman"/>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under the following caption in our Proxy Statement, which is incorporated herein by reference: “Security Ownership of Certain Beneficial Owners and Management.”</w:t>
      </w:r>
    </w:p>
    <w:p>
      <w:pPr>
        <w:pStyle w:val="TextBody"/>
        <w:bidi w:val="0"/>
        <w:spacing w:before="240" w:after="283"/>
        <w:jc w:val="both"/>
        <w:rPr>
          <w:rFonts w:ascii="Times New Roman" w:hAnsi="Times New Roman"/>
          <w:sz w:val="20"/>
        </w:rPr>
      </w:pPr>
      <w:bookmarkStart w:id="24" w:name="item_13_certain_relationships_related_tr"/>
      <w:bookmarkEnd w:id="24"/>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set forth under the following captions in our Proxy Statement, all of which is incorporated herein by reference: “Board Matters – A Board Substantially Consisting of Independent Directors” and “Related Person Transactions.” </w:t>
      </w:r>
    </w:p>
    <w:p>
      <w:pPr>
        <w:pStyle w:val="TextBody"/>
        <w:bidi w:val="0"/>
        <w:spacing w:before="240" w:after="283"/>
        <w:jc w:val="left"/>
        <w:rPr>
          <w:rFonts w:ascii="Times New Roman" w:hAnsi="Times New Roman"/>
          <w:sz w:val="20"/>
        </w:rPr>
      </w:pPr>
      <w:bookmarkStart w:id="25" w:name="item_14_principal_accounting_fees_servic"/>
      <w:bookmarkEnd w:id="25"/>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set forth under the following caption in our Proxy Statement, which is incorporated herein by reference: “Audit Committee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26" w:name="part_iv"/>
      <w:bookmarkEnd w:id="26"/>
      <w:r>
        <w:rPr>
          <w:rFonts w:ascii="Times New Roman" w:hAnsi="Times New Roman"/>
          <w:b/>
          <w:caps/>
          <w:color w:val="000000"/>
          <w:sz w:val="20"/>
        </w:rPr>
        <w:t>PART IV</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27" w:name="item_15"/>
      <w:bookmarkEnd w:id="2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are filed as part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financial statements of the Company and reports of independent accountants are included in Item 15 of this Annual Report: </w:t>
      </w:r>
    </w:p>
    <w:p>
      <w:pPr>
        <w:pStyle w:val="TextBody"/>
        <w:bidi w:val="0"/>
        <w:jc w:val="left"/>
        <w:rPr/>
      </w:pPr>
      <w:r>
        <w:rPr/>
        <w:t> </w:t>
      </w:r>
    </w:p>
    <w:tbl>
      <w:tblPr>
        <w:tblW w:w="9054" w:type="dxa"/>
        <w:jc w:val="left"/>
        <w:tblInd w:w="0" w:type="dxa"/>
        <w:tblLayout w:type="fixed"/>
        <w:tblCellMar>
          <w:top w:w="28" w:type="dxa"/>
          <w:left w:w="28" w:type="dxa"/>
          <w:bottom w:w="28" w:type="dxa"/>
          <w:right w:w="28" w:type="dxa"/>
        </w:tblCellMar>
      </w:tblPr>
      <w:tblGrid>
        <w:gridCol w:w="7996"/>
        <w:gridCol w:w="146"/>
        <w:gridCol w:w="481"/>
        <w:gridCol w:w="431"/>
      </w:tblGrid>
      <w:tr>
        <w:trPr/>
        <w:tc>
          <w:tcPr>
            <w:tcW w:w="7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Page</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auditor_opinion_ey">
              <w:r>
                <w:rPr>
                  <w:rStyle w:val="InternetLink"/>
                  <w:rFonts w:ascii="Times New Roman" w:hAnsi="Times New Roman"/>
                  <w:color w:val="0000FF"/>
                  <w:sz w:val="20"/>
                </w:rPr>
                <w:t>Reports of Ernst &amp; Young LLP, Independent Registered Public Accounting Firm (PCAOB ID: 42)</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income">
              <w:r>
                <w:rPr>
                  <w:rStyle w:val="InternetLink"/>
                  <w:rFonts w:ascii="Times New Roman" w:hAnsi="Times New Roman"/>
                  <w:color w:val="0000FF"/>
                  <w:sz w:val="20"/>
                </w:rPr>
                <w:t>Consolidated Statements of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omprehensive">
              <w:r>
                <w:rPr>
                  <w:rStyle w:val="InternetLink"/>
                  <w:rFonts w:ascii="Times New Roman" w:hAnsi="Times New Roman"/>
                  <w:color w:val="0000FF"/>
                  <w:sz w:val="20"/>
                </w:rPr>
                <w:t>Consolidated Statements of Comprehensive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hanges_in_sh">
              <w:r>
                <w:rPr>
                  <w:rStyle w:val="InternetLink"/>
                  <w:rFonts w:ascii="Times New Roman" w:hAnsi="Times New Roman"/>
                  <w:color w:val="0000FF"/>
                  <w:sz w:val="20"/>
                </w:rPr>
                <w:t>Consolidated Statements of Changes in Shareholders’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ash_flows">
              <w:r>
                <w:rPr>
                  <w:rStyle w:val="InternetLink"/>
                  <w:rFonts w:ascii="Times New Roman" w:hAnsi="Times New Roman"/>
                  <w:color w:val="0000FF"/>
                  <w:sz w:val="20"/>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99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the_consolidated_financial_stat">
              <w:r>
                <w:rPr>
                  <w:rStyle w:val="InternetLink"/>
                  <w:rFonts w:ascii="Times New Roman" w:hAnsi="Times New Roman"/>
                  <w:color w:val="0000FF"/>
                  <w:sz w:val="20"/>
                </w:rPr>
                <w:t>Notes to the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Statement Schedule. </w:t>
      </w:r>
    </w:p>
    <w:p>
      <w:pPr>
        <w:pStyle w:val="TextBody"/>
        <w:bidi w:val="0"/>
        <w:jc w:val="center"/>
        <w:rPr>
          <w:rFonts w:ascii="Times New Roman" w:hAnsi="Times New Roman"/>
          <w:color w:val="000000"/>
          <w:sz w:val="20"/>
        </w:rPr>
      </w:pPr>
      <w:r>
        <w:rPr>
          <w:rFonts w:ascii="Times New Roman" w:hAnsi="Times New Roman"/>
          <w:color w:val="000000"/>
          <w:sz w:val="20"/>
        </w:rPr>
        <w:t xml:space="preserve">The following Schedule to Financial Statements is included 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Schedule II — Valuation and Qualifying Accounts.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Exhibits.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exhibits to this Annual Report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0"/>
        <w:gridCol w:w="146"/>
        <w:gridCol w:w="4204"/>
        <w:gridCol w:w="146"/>
        <w:gridCol w:w="1011"/>
        <w:gridCol w:w="146"/>
        <w:gridCol w:w="920"/>
        <w:gridCol w:w="146"/>
        <w:gridCol w:w="702"/>
        <w:gridCol w:w="146"/>
        <w:gridCol w:w="1083"/>
        <w:gridCol w:w="146"/>
        <w:gridCol w:w="639"/>
      </w:tblGrid>
      <w:tr>
        <w:trPr/>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9" w:type="dxa"/>
            <w:tcBorders/>
            <w:shd w:fill="FFFFFF" w:val="clear"/>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04"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0"/>
              <w:jc w:val="center"/>
              <w:rPr/>
            </w:pPr>
            <w:r>
              <w:rPr/>
              <w:t> </w:t>
            </w:r>
          </w:p>
        </w:tc>
        <w:tc>
          <w:tcPr>
            <w:tcW w:w="1011" w:type="dxa"/>
            <w:tcBorders/>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782" w:type="dxa"/>
            <w:gridSpan w:val="7"/>
            <w:tcBorders>
              <w:bottom w:val="single" w:sz="6"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7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20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70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Ending</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 Appendix 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63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w:t>
            </w:r>
          </w:p>
        </w:tc>
        <w:tc>
          <w:tcPr>
            <w:tcW w:w="146" w:type="dxa"/>
            <w:tcBorders/>
            <w:vAlign w:val="center"/>
          </w:tcPr>
          <w:p>
            <w:pPr>
              <w:pStyle w:val="TableContents"/>
              <w:bidi w:val="0"/>
              <w:spacing w:before="100" w:after="283"/>
              <w:jc w:val="left"/>
              <w:rPr/>
            </w:pPr>
            <w:r>
              <w:rPr/>
              <w:t> </w:t>
            </w:r>
          </w:p>
        </w:tc>
        <w:tc>
          <w:tcPr>
            <w:tcW w:w="4204" w:type="dxa"/>
            <w:tcBorders/>
            <w:vAlign w:val="center"/>
          </w:tcPr>
          <w:p>
            <w:pPr>
              <w:pStyle w:val="TableContents"/>
              <w:bidi w:val="0"/>
              <w:spacing w:before="100" w:after="283"/>
              <w:jc w:val="left"/>
              <w:rPr/>
            </w:pPr>
            <w:hyperlink r:id="rId3">
              <w:r>
                <w:rPr>
                  <w:rStyle w:val="InternetLink"/>
                  <w:rFonts w:ascii="Times New Roman" w:hAnsi="Times New Roman"/>
                  <w:color w:val="0000FF"/>
                  <w:sz w:val="20"/>
                  <w:u w:val="single"/>
                </w:rPr>
                <w:t>Share Purchase and Transfer Agreement, dated May 4, 2022, by and among Gebhardt Holding GmbH, ELBER GmbH, Gentherm GmbH, and Andreas Gebhardt, Markus Gebhardt and Dr. Johann Vialberth</w:t>
              </w:r>
            </w:hyperlink>
          </w:p>
        </w:tc>
        <w:tc>
          <w:tcPr>
            <w:tcW w:w="146" w:type="dxa"/>
            <w:tcBorders/>
            <w:vAlign w:val="center"/>
          </w:tcPr>
          <w:p>
            <w:pPr>
              <w:pStyle w:val="TableContents"/>
              <w:bidi w:val="0"/>
              <w:spacing w:before="100" w:after="283"/>
              <w:jc w:val="center"/>
              <w:rPr/>
            </w:pPr>
            <w:r>
              <w:rPr/>
              <w:t> </w:t>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920" w:type="dxa"/>
            <w:tcBorders/>
            <w:vAlign w:val="center"/>
          </w:tcPr>
          <w:p>
            <w:pPr>
              <w:pStyle w:val="TableContents"/>
              <w:bidi w:val="0"/>
              <w:spacing w:before="100" w:after="283"/>
              <w:ind w:left="0" w:right="0" w:firstLine="217"/>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3/31/22</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5/4/22</w:t>
            </w:r>
          </w:p>
        </w:tc>
      </w:tr>
      <w:tr>
        <w:trPr/>
        <w:tc>
          <w:tcPr>
            <w:tcW w:w="770" w:type="dxa"/>
            <w:tcBorders/>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4">
              <w:r>
                <w:rPr>
                  <w:rStyle w:val="InternetLink"/>
                  <w:rFonts w:ascii="Times New Roman" w:hAnsi="Times New Roman"/>
                  <w:color w:val="0000FF"/>
                  <w:sz w:val="20"/>
                  <w:u w:val="single"/>
                </w:rPr>
                <w:t>Second Amended and Restated Articles of Incorporation of Gentherm Incorporated</w:t>
              </w:r>
            </w:hyperlink>
          </w:p>
        </w:tc>
        <w:tc>
          <w:tcPr>
            <w:tcW w:w="146" w:type="dxa"/>
            <w:tcBorders/>
            <w:vAlign w:val="center"/>
          </w:tcPr>
          <w:p>
            <w:pPr>
              <w:pStyle w:val="TableContents"/>
              <w:bidi w:val="0"/>
              <w:spacing w:before="100" w:after="283"/>
              <w:jc w:val="center"/>
              <w:rPr/>
            </w:pPr>
            <w:r>
              <w:rPr/>
              <w:t> </w:t>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920" w:type="dxa"/>
            <w:tcBorders/>
            <w:vAlign w:val="center"/>
          </w:tcPr>
          <w:p>
            <w:pPr>
              <w:pStyle w:val="TableContents"/>
              <w:bidi w:val="0"/>
              <w:spacing w:before="100" w:after="283"/>
              <w:ind w:left="0" w:right="0" w:firstLine="217"/>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3/5/18</w:t>
            </w:r>
          </w:p>
        </w:tc>
      </w:tr>
      <w:tr>
        <w:trPr/>
        <w:tc>
          <w:tcPr>
            <w:tcW w:w="770" w:type="dxa"/>
            <w:tcBorders/>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5">
              <w:r>
                <w:rPr>
                  <w:rStyle w:val="InternetLink"/>
                  <w:rFonts w:ascii="Times New Roman" w:hAnsi="Times New Roman"/>
                  <w:color w:val="0000FF"/>
                  <w:sz w:val="20"/>
                  <w:u w:val="single"/>
                </w:rPr>
                <w:t>Amended and Restated Bylaws of Gentherm Incorporated</w:t>
              </w:r>
            </w:hyperlink>
          </w:p>
        </w:tc>
        <w:tc>
          <w:tcPr>
            <w:tcW w:w="146" w:type="dxa"/>
            <w:tcBorders/>
            <w:vAlign w:val="center"/>
          </w:tcPr>
          <w:p>
            <w:pPr>
              <w:pStyle w:val="TableContents"/>
              <w:bidi w:val="0"/>
              <w:spacing w:before="100" w:after="283"/>
              <w:jc w:val="center"/>
              <w:rPr/>
            </w:pPr>
            <w:r>
              <w:rPr/>
              <w:t> </w:t>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5/26/16</w:t>
            </w:r>
          </w:p>
        </w:tc>
      </w:tr>
      <w:tr>
        <w:trPr/>
        <w:tc>
          <w:tcPr>
            <w:tcW w:w="770" w:type="dxa"/>
            <w:tcBorders/>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4</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6">
              <w:r>
                <w:rPr>
                  <w:rStyle w:val="InternetLink"/>
                  <w:rFonts w:ascii="Times New Roman" w:hAnsi="Times New Roman"/>
                  <w:color w:val="0000FF"/>
                  <w:sz w:val="20"/>
                  <w:u w:val="single"/>
                </w:rPr>
                <w:t>Description of Securities</w:t>
              </w:r>
            </w:hyperlink>
          </w:p>
        </w:tc>
        <w:tc>
          <w:tcPr>
            <w:tcW w:w="146" w:type="dxa"/>
            <w:tcBorders/>
            <w:vAlign w:val="center"/>
          </w:tcPr>
          <w:p>
            <w:pPr>
              <w:pStyle w:val="TableContents"/>
              <w:bidi w:val="0"/>
              <w:spacing w:before="100" w:after="283"/>
              <w:jc w:val="center"/>
              <w:rPr/>
            </w:pPr>
            <w:r>
              <w:rPr/>
              <w:t> </w:t>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10-K</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12/31/19</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2/20/20</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7">
              <w:r>
                <w:rPr>
                  <w:rStyle w:val="InternetLink"/>
                  <w:rFonts w:ascii="Times New Roman" w:hAnsi="Times New Roman"/>
                  <w:color w:val="0000FF"/>
                  <w:sz w:val="20"/>
                  <w:u w:val="single"/>
                </w:rPr>
                <w:t>Summary of Non-Employee Director Compensation (effective starting with the 2021 annual meeting of shareholders)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10-Q </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6/30/21 </w:t>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10.3 </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7/30/21 </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8">
              <w:r>
                <w:rPr>
                  <w:rStyle w:val="InternetLink"/>
                  <w:rFonts w:ascii="Times New Roman" w:hAnsi="Times New Roman"/>
                  <w:color w:val="0000FF"/>
                  <w:sz w:val="20"/>
                  <w:u w:val="single"/>
                </w:rPr>
                <w:t>Second Amended and Restated Gentherm Incorporated Senior Level Performance Bonus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8-K </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10.1 </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3/15/21 </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9">
              <w:r>
                <w:rPr>
                  <w:rStyle w:val="InternetLink"/>
                  <w:rFonts w:ascii="Times New Roman" w:hAnsi="Times New Roman"/>
                  <w:color w:val="0000EE"/>
                  <w:sz w:val="20"/>
                  <w:u w:val="single"/>
                </w:rPr>
                <w:t>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Schedule 14A</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A</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4/22/13</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 xml:space="preserve">10.3.2** </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0">
              <w:r>
                <w:rPr>
                  <w:rStyle w:val="InternetLink"/>
                  <w:rFonts w:ascii="Times New Roman" w:hAnsi="Times New Roman"/>
                  <w:color w:val="0000EE"/>
                  <w:sz w:val="20"/>
                  <w:u w:val="single"/>
                </w:rPr>
                <w:t>Amendment to the Gentherm Incorporated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5/19/17</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1">
              <w:r>
                <w:rPr>
                  <w:rStyle w:val="InternetLink"/>
                  <w:rFonts w:ascii="Times New Roman" w:hAnsi="Times New Roman"/>
                  <w:color w:val="0000EE"/>
                  <w:sz w:val="20"/>
                  <w:u w:val="single"/>
                </w:rPr>
                <w:t>Second Amendment to the Gentherm Incorporated 2013 Equity Incentive Plan, effective as of May 21, 2020</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5/26/20</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2">
              <w:r>
                <w:rPr>
                  <w:rStyle w:val="InternetLink"/>
                  <w:rFonts w:ascii="Times New Roman" w:hAnsi="Times New Roman"/>
                  <w:color w:val="0000EE"/>
                  <w:sz w:val="20"/>
                  <w:u w:val="single"/>
                </w:rPr>
                <w:t>Form of Stock Option Award Agreement under the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6/27/13</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3">
              <w:r>
                <w:rPr>
                  <w:rStyle w:val="InternetLink"/>
                  <w:rFonts w:ascii="Times New Roman" w:hAnsi="Times New Roman"/>
                  <w:color w:val="0000EE"/>
                  <w:sz w:val="20"/>
                  <w:u w:val="single"/>
                </w:rPr>
                <w:t>Form of Stock Appreciation Right Award Agreement under the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6/27/13</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4">
              <w:r>
                <w:rPr>
                  <w:rStyle w:val="InternetLink"/>
                  <w:rFonts w:ascii="Times New Roman" w:hAnsi="Times New Roman"/>
                  <w:color w:val="0000EE"/>
                  <w:sz w:val="20"/>
                  <w:u w:val="single"/>
                </w:rPr>
                <w:t>Form of Restricted Stock Award Agreement under the 2013 Equity Incentive Plan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6/27/13</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5">
              <w:r>
                <w:rPr>
                  <w:rStyle w:val="InternetLink"/>
                  <w:rFonts w:ascii="Times New Roman" w:hAnsi="Times New Roman"/>
                  <w:color w:val="0000EE"/>
                  <w:sz w:val="20"/>
                  <w:u w:val="single"/>
                </w:rPr>
                <w:t>Form of Restricted Stock Award Agreement (Retention Award) under the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10/4/17</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6">
              <w:r>
                <w:rPr>
                  <w:rStyle w:val="InternetLink"/>
                  <w:rFonts w:ascii="Times New Roman" w:hAnsi="Times New Roman"/>
                  <w:color w:val="0000EE"/>
                  <w:sz w:val="20"/>
                  <w:u w:val="single"/>
                </w:rPr>
                <w:t>Form of Restricted Stock Unit Award Agreement (Performance-Based) under the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6/13/18</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7">
              <w:r>
                <w:rPr>
                  <w:rStyle w:val="InternetLink"/>
                  <w:rFonts w:ascii="Times New Roman" w:hAnsi="Times New Roman"/>
                  <w:color w:val="0000EE"/>
                  <w:sz w:val="20"/>
                  <w:u w:val="single"/>
                </w:rPr>
                <w:t>Form of Restricted Stock Unit Award Agreement (Time-Based) under the 2013 Equity Incentive Plan</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6/13/18</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10.3.10**</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8">
              <w:r>
                <w:rPr>
                  <w:rStyle w:val="InternetLink"/>
                  <w:rFonts w:ascii="Times New Roman" w:hAnsi="Times New Roman"/>
                  <w:color w:val="0000EE"/>
                  <w:sz w:val="20"/>
                  <w:u w:val="single"/>
                </w:rPr>
                <w:t>Form of Restricted Stock Unit Award Agreement (Performance-Based) under the 2013 Equity Incentive Plan – Anversa</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12/12/18</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10.3.11**</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19">
              <w:r>
                <w:rPr>
                  <w:rStyle w:val="InternetLink"/>
                  <w:rFonts w:ascii="Times New Roman" w:hAnsi="Times New Roman"/>
                  <w:color w:val="0000EE"/>
                  <w:sz w:val="20"/>
                  <w:u w:val="single"/>
                </w:rPr>
                <w:t>Form of Restricted Stock Unit Award Agreement (Time-Based) under the 2013 Equity Incentive Plan – Anversa</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12/12/18</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10.3.12**</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20">
              <w:r>
                <w:rPr>
                  <w:rStyle w:val="InternetLink"/>
                  <w:rFonts w:ascii="Times New Roman" w:hAnsi="Times New Roman"/>
                  <w:color w:val="0000EE"/>
                  <w:sz w:val="20"/>
                  <w:u w:val="single"/>
                </w:rPr>
                <w:t>Form of Restricted Stock Unit Award Agreement (Performance-Based) under the 2013 Equity Incentive Plan (effective as of 2020 grants)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3/31/20</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5/7/20</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10.3.13**</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21">
              <w:r>
                <w:rPr>
                  <w:rStyle w:val="InternetLink"/>
                  <w:rFonts w:ascii="Times New Roman" w:hAnsi="Times New Roman"/>
                  <w:color w:val="0000EE"/>
                  <w:sz w:val="20"/>
                  <w:u w:val="single"/>
                </w:rPr>
                <w:t>Form of Restricted Stock Unit Award Agreement (Time-Based) under the 2013 Equity Incentive Plan (effective as of 2020 grants)</w:t>
              </w:r>
            </w:hyperlink>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702"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3/31/20</w:t>
            </w:r>
          </w:p>
        </w:tc>
        <w:tc>
          <w:tcPr>
            <w:tcW w:w="146" w:type="dxa"/>
            <w:tcBorders/>
            <w:vAlign w:val="center"/>
          </w:tcPr>
          <w:p>
            <w:pPr>
              <w:pStyle w:val="TableContents"/>
              <w:bidi w:val="0"/>
              <w:spacing w:before="100" w:after="283"/>
              <w:jc w:val="center"/>
              <w:rPr/>
            </w:pPr>
            <w:r>
              <w:rPr/>
              <w:t> </w:t>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00" w:after="283"/>
              <w:jc w:val="center"/>
              <w:rPr/>
            </w:pPr>
            <w:r>
              <w:rPr/>
              <w:t> </w:t>
            </w:r>
          </w:p>
        </w:tc>
        <w:tc>
          <w:tcPr>
            <w:tcW w:w="63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5/7/20</w:t>
            </w:r>
          </w:p>
        </w:tc>
      </w:tr>
      <w:tr>
        <w:trPr/>
        <w:tc>
          <w:tcPr>
            <w:tcW w:w="770"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10.3.14**</w:t>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100" w:after="283"/>
              <w:jc w:val="left"/>
              <w:rPr/>
            </w:pPr>
            <w:hyperlink r:id="rId22">
              <w:r>
                <w:rPr>
                  <w:rStyle w:val="InternetLink"/>
                  <w:rFonts w:ascii="Times New Roman" w:hAnsi="Times New Roman"/>
                  <w:color w:val="0000EE"/>
                  <w:sz w:val="20"/>
                  <w:u w:val="single"/>
                </w:rPr>
                <w:t>Form of Restricted Stock Award Agreement (Director) under the Gentherm Incorporated 2013 Equity Incentive Plan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10-Q </w:t>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100" w:after="283"/>
              <w:jc w:val="center"/>
              <w:rPr>
                <w:color w:val="000000"/>
              </w:rPr>
            </w:pPr>
            <w:r>
              <w:rPr>
                <w:color w:val="000000"/>
              </w:rPr>
              <w:t> </w:t>
            </w:r>
            <w:r>
              <w:rPr>
                <w:rFonts w:ascii="Times New Roman" w:hAnsi="Times New Roman"/>
                <w:color w:val="000000"/>
                <w:sz w:val="20"/>
              </w:rPr>
              <w:t>6/30/20</w:t>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10.7 </w:t>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4787"/>
        <w:gridCol w:w="146"/>
        <w:gridCol w:w="953"/>
        <w:gridCol w:w="146"/>
        <w:gridCol w:w="516"/>
        <w:gridCol w:w="146"/>
        <w:gridCol w:w="675"/>
        <w:gridCol w:w="146"/>
        <w:gridCol w:w="1021"/>
        <w:gridCol w:w="146"/>
        <w:gridCol w:w="618"/>
      </w:tblGrid>
      <w:tr>
        <w:trPr/>
        <w:tc>
          <w:tcPr>
            <w:tcW w:w="7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5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r>
      <w:tr>
        <w:trPr/>
        <w:tc>
          <w:tcPr>
            <w:tcW w:w="7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87"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0"/>
              <w:jc w:val="center"/>
              <w:rPr/>
            </w:pPr>
            <w:r>
              <w:rPr/>
              <w:t> </w:t>
            </w:r>
          </w:p>
        </w:tc>
        <w:tc>
          <w:tcPr>
            <w:tcW w:w="953" w:type="dxa"/>
            <w:tcBorders/>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268" w:type="dxa"/>
            <w:gridSpan w:val="7"/>
            <w:tcBorders>
              <w:bottom w:val="single" w:sz="6"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5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78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67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Ending</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 Appendix 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61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10.3.15**</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3">
              <w:r>
                <w:rPr>
                  <w:rStyle w:val="InternetLink"/>
                  <w:rFonts w:ascii="Times New Roman" w:hAnsi="Times New Roman"/>
                  <w:color w:val="0000FF"/>
                  <w:sz w:val="20"/>
                  <w:u w:val="single"/>
                </w:rPr>
                <w:t>Form of Restricted Stock Award Agreement (Director) (effective as of 2021 grants)</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6/30/21</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7/30/21</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10.3.16**</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4">
              <w:r>
                <w:rPr>
                  <w:rStyle w:val="InternetLink"/>
                  <w:rFonts w:ascii="Times New Roman" w:hAnsi="Times New Roman"/>
                  <w:color w:val="0000FF"/>
                  <w:sz w:val="20"/>
                  <w:u w:val="single"/>
                </w:rPr>
                <w:t>Form of Restricted Stock Unit Award Agreement under the 2013 Equity Incentive Plan (effective as of 2021 grants)</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3/15/21</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10.3.17**</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5">
              <w:r>
                <w:rPr>
                  <w:rStyle w:val="InternetLink"/>
                  <w:rFonts w:ascii="Times New Roman" w:hAnsi="Times New Roman"/>
                  <w:color w:val="0000FF"/>
                  <w:sz w:val="20"/>
                  <w:u w:val="single"/>
                </w:rPr>
                <w:t>Form of Performance Stock Unit Award Agreement under the 2013 Equity Incentive Plan (effective as of 2021 grants)</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3/15/21</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6">
              <w:r>
                <w:rPr>
                  <w:rStyle w:val="InternetLink"/>
                  <w:rFonts w:ascii="Times New Roman" w:hAnsi="Times New Roman"/>
                  <w:color w:val="0000FF"/>
                  <w:sz w:val="20"/>
                  <w:u w:val="single"/>
                </w:rPr>
                <w:t>Gentherm Incorporated 2023 Equity Incentive Plan</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5/18/23</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10.4.2**</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7">
              <w:r>
                <w:rPr>
                  <w:rStyle w:val="InternetLink"/>
                  <w:rFonts w:ascii="Times New Roman" w:hAnsi="Times New Roman"/>
                  <w:color w:val="0000FF"/>
                  <w:sz w:val="20"/>
                  <w:u w:val="single"/>
                </w:rPr>
                <w:t>Form of Performance Stock Unit Award Agreement under the Gentherm Incorporated 2023 Equity Incentive Plan</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5/18/23</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10.4.3**</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8">
              <w:r>
                <w:rPr>
                  <w:rStyle w:val="InternetLink"/>
                  <w:rFonts w:ascii="Times New Roman" w:hAnsi="Times New Roman"/>
                  <w:color w:val="0000FF"/>
                  <w:sz w:val="20"/>
                  <w:u w:val="single"/>
                </w:rPr>
                <w:t>Form of Restricted Stock Unit Award Agreement under the Gentherm Incorporated 2023 Equity Incentive Plan</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5/18/23</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10.4.4**</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29">
              <w:r>
                <w:rPr>
                  <w:rStyle w:val="InternetLink"/>
                  <w:rFonts w:ascii="Times New Roman" w:hAnsi="Times New Roman"/>
                  <w:color w:val="0000FF"/>
                  <w:sz w:val="20"/>
                  <w:u w:val="single"/>
                </w:rPr>
                <w:t>Form of Restricted Stock Award Agreement (Director) under the Gentherm Incorporated 2023 Equity Incentive Plan</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5/18/23</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10.5.1</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30">
              <w:r>
                <w:rPr>
                  <w:rStyle w:val="InternetLink"/>
                  <w:rFonts w:ascii="Times New Roman" w:hAnsi="Times New Roman"/>
                  <w:color w:val="0000FF"/>
                  <w:sz w:val="20"/>
                  <w:u w:val="single"/>
                </w:rPr>
                <w:t>Second Amended and Restated Credit Agreement, dated as of June 10, 2022, by and among Gentherm Incorporated, Gentherm (Texas), Inc., Gentherm Licensing, Limited Partnership, Gentherm Medical, LLC, Gentherm GmbH, Gentherm Enterprises GmbH and Gentherm Licensing GmbH, the lenders party thereto, and Bank of America, N.A., as administrative agent, swing line lender and L/C issuer.</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6/13/22</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10.5.2</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31">
              <w:r>
                <w:rPr>
                  <w:rStyle w:val="InternetLink"/>
                  <w:rFonts w:ascii="Times New Roman" w:hAnsi="Times New Roman"/>
                  <w:color w:val="0000FF"/>
                  <w:sz w:val="20"/>
                  <w:u w:val="single"/>
                </w:rPr>
                <w:t>Second Amended and Restated Pledge and Security Agreement, dated as of June 10, 2022, by and among Gentherm Incorporated, Gentherm (Texas), Inc., Gentherm Medical, LLC, Gentherm Properties I, LLC, Gentherm Properties II, LLC and Bank of America, N.A.</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6/13/22</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10.6.1**</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2">
              <w:r>
                <w:rPr>
                  <w:rStyle w:val="InternetLink"/>
                  <w:rFonts w:ascii="Times New Roman" w:hAnsi="Times New Roman"/>
                  <w:color w:val="0000EE"/>
                  <w:sz w:val="20"/>
                  <w:u w:val="single"/>
                </w:rPr>
                <w:t>Employment Contract between Gentherm Incorporated and Phillip Eyler, dated as of September 18, 2017</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10/3/17</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10.6.2**</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3">
              <w:r>
                <w:rPr>
                  <w:rStyle w:val="InternetLink"/>
                  <w:rFonts w:ascii="Times New Roman" w:hAnsi="Times New Roman"/>
                  <w:color w:val="0000EE"/>
                  <w:sz w:val="20"/>
                  <w:u w:val="single"/>
                </w:rPr>
                <w:t>Amendment to Employment Terms between Gentherm Incorporated and Phillip Eyler, dated as of December 7, 2018</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12/7/18</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10.6.3**</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4">
              <w:r>
                <w:rPr>
                  <w:rStyle w:val="InternetLink"/>
                  <w:rFonts w:ascii="Times New Roman" w:hAnsi="Times New Roman"/>
                  <w:color w:val="0000EE"/>
                  <w:sz w:val="20"/>
                  <w:u w:val="single"/>
                </w:rPr>
                <w:t>Second Amendment to Employment Terms between Gentherm Incorporated and Phillip Eyler dated as of April 21, 2020</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10-Q </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6/30/20</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8/4/20</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10.7.1**</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5">
              <w:r>
                <w:rPr>
                  <w:rStyle w:val="InternetLink"/>
                  <w:rFonts w:ascii="Times New Roman" w:hAnsi="Times New Roman"/>
                  <w:color w:val="0000EE"/>
                  <w:sz w:val="20"/>
                  <w:u w:val="single"/>
                </w:rPr>
                <w:t>Offer Letter between Gentherm Incorporated and Matteo Anversa, dated as of October 22, 2018</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12/12/18</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10.7.2**</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6">
              <w:r>
                <w:rPr>
                  <w:rStyle w:val="InternetLink"/>
                  <w:rFonts w:ascii="Times New Roman" w:hAnsi="Times New Roman"/>
                  <w:color w:val="0000EE"/>
                  <w:sz w:val="20"/>
                  <w:u w:val="single"/>
                </w:rPr>
                <w:t>First Amendment to Offer Letter Agreement between Gentherm Incorporated and Matteo Anversa dated as of April 21, 2020</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10-Q </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6/30/20</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8/4/20</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10.7.3**</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37">
              <w:r>
                <w:rPr>
                  <w:rStyle w:val="InternetLink"/>
                  <w:rFonts w:ascii="Times New Roman" w:hAnsi="Times New Roman"/>
                  <w:color w:val="0000FF"/>
                  <w:sz w:val="20"/>
                  <w:u w:val="single"/>
                </w:rPr>
                <w:t>Second Amendment to Offer Letter Agreement between Gentherm Incorporated and Matteo Anversa, dated as of March 12, 2021</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3/15/21</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10.8.1**</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38">
              <w:r>
                <w:rPr>
                  <w:rStyle w:val="InternetLink"/>
                  <w:rFonts w:ascii="Times New Roman" w:hAnsi="Times New Roman"/>
                  <w:color w:val="0000EE"/>
                  <w:sz w:val="20"/>
                  <w:u w:val="single"/>
                </w:rPr>
                <w:t>Employment Contract between Gentherm GmbH and Thomas Stocker, effective September 1, 2019</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9/30/19 </w:t>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10/29/19</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10.8.2**</w:t>
            </w:r>
          </w:p>
        </w:tc>
        <w:tc>
          <w:tcPr>
            <w:tcW w:w="146" w:type="dxa"/>
            <w:tcBorders/>
            <w:vAlign w:val="center"/>
          </w:tcPr>
          <w:p>
            <w:pPr>
              <w:pStyle w:val="TableContents"/>
              <w:bidi w:val="0"/>
              <w:spacing w:before="100" w:after="283"/>
              <w:jc w:val="left"/>
              <w:rPr/>
            </w:pPr>
            <w:r>
              <w:rPr/>
              <w:t> </w:t>
            </w:r>
          </w:p>
        </w:tc>
        <w:tc>
          <w:tcPr>
            <w:tcW w:w="4787" w:type="dxa"/>
            <w:tcBorders/>
            <w:vAlign w:val="center"/>
          </w:tcPr>
          <w:p>
            <w:pPr>
              <w:pStyle w:val="TableContents"/>
              <w:bidi w:val="0"/>
              <w:spacing w:before="100" w:after="283"/>
              <w:jc w:val="left"/>
              <w:rPr/>
            </w:pPr>
            <w:hyperlink r:id="rId39">
              <w:r>
                <w:rPr>
                  <w:rStyle w:val="InternetLink"/>
                  <w:rFonts w:ascii="Times New Roman" w:hAnsi="Times New Roman"/>
                  <w:color w:val="0000FF"/>
                  <w:sz w:val="20"/>
                  <w:u w:val="single"/>
                </w:rPr>
                <w:t>First Amendment to the Employment Agreement between Gentherm Enterprises GmbH and Thomas Stocker, effective June 28, 2021</w:t>
              </w:r>
            </w:hyperlink>
          </w:p>
        </w:tc>
        <w:tc>
          <w:tcPr>
            <w:tcW w:w="146" w:type="dxa"/>
            <w:tcBorders/>
            <w:vAlign w:val="center"/>
          </w:tcPr>
          <w:p>
            <w:pPr>
              <w:pStyle w:val="TableContents"/>
              <w:bidi w:val="0"/>
              <w:spacing w:before="100" w:after="283"/>
              <w:jc w:val="center"/>
              <w:rPr/>
            </w:pPr>
            <w:r>
              <w:rPr/>
              <w:t> </w:t>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6/30/21</w:t>
            </w:r>
          </w:p>
        </w:tc>
        <w:tc>
          <w:tcPr>
            <w:tcW w:w="146" w:type="dxa"/>
            <w:tcBorders/>
            <w:vAlign w:val="center"/>
          </w:tcPr>
          <w:p>
            <w:pPr>
              <w:pStyle w:val="TableContents"/>
              <w:bidi w:val="0"/>
              <w:spacing w:before="100" w:after="283"/>
              <w:jc w:val="center"/>
              <w:rPr/>
            </w:pPr>
            <w:r>
              <w:rPr/>
              <w:t> </w:t>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00" w:after="283"/>
              <w:jc w:val="center"/>
              <w:rPr/>
            </w:pPr>
            <w:r>
              <w:rPr/>
              <w:t> </w:t>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7/30/21</w:t>
            </w:r>
          </w:p>
        </w:tc>
      </w:tr>
      <w:tr>
        <w:trPr/>
        <w:tc>
          <w:tcPr>
            <w:tcW w:w="759"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10.9.1**</w:t>
            </w:r>
          </w:p>
        </w:tc>
        <w:tc>
          <w:tcPr>
            <w:tcW w:w="146" w:type="dxa"/>
            <w:tcBorders/>
            <w:vAlign w:val="center"/>
          </w:tcPr>
          <w:p>
            <w:pPr>
              <w:pStyle w:val="TableContents"/>
              <w:bidi w:val="0"/>
              <w:spacing w:before="0" w:after="283"/>
              <w:jc w:val="left"/>
              <w:rPr>
                <w:sz w:val="4"/>
                <w:szCs w:val="4"/>
              </w:rPr>
            </w:pPr>
            <w:r>
              <w:rPr>
                <w:sz w:val="4"/>
                <w:szCs w:val="4"/>
              </w:rPr>
            </w:r>
          </w:p>
        </w:tc>
        <w:tc>
          <w:tcPr>
            <w:tcW w:w="4787" w:type="dxa"/>
            <w:tcBorders/>
            <w:vAlign w:val="center"/>
          </w:tcPr>
          <w:p>
            <w:pPr>
              <w:pStyle w:val="TableContents"/>
              <w:bidi w:val="0"/>
              <w:spacing w:before="100" w:after="283"/>
              <w:jc w:val="left"/>
              <w:rPr/>
            </w:pPr>
            <w:hyperlink r:id="rId40">
              <w:r>
                <w:rPr>
                  <w:rStyle w:val="InternetLink"/>
                  <w:rFonts w:ascii="Times New Roman" w:hAnsi="Times New Roman"/>
                  <w:color w:val="0000EE"/>
                  <w:sz w:val="20"/>
                  <w:u w:val="single"/>
                </w:rPr>
                <w:t>Offer Letter between Gentherm Incorporated and Hui (Helen) Xu, effective November 4, 2019</w:t>
              </w:r>
            </w:hyperlink>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12/31/19 </w:t>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 xml:space="preserve">10.11 </w:t>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2/20/20</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146"/>
        <w:gridCol w:w="4375"/>
        <w:gridCol w:w="146"/>
        <w:gridCol w:w="1089"/>
        <w:gridCol w:w="146"/>
        <w:gridCol w:w="511"/>
        <w:gridCol w:w="146"/>
        <w:gridCol w:w="738"/>
        <w:gridCol w:w="146"/>
        <w:gridCol w:w="1166"/>
        <w:gridCol w:w="146"/>
        <w:gridCol w:w="665"/>
      </w:tblGrid>
      <w:tr>
        <w:trPr/>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5" w:type="dxa"/>
            <w:tcBorders/>
            <w:shd w:fill="FFFFFF" w:val="clear"/>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75"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0"/>
              <w:jc w:val="center"/>
              <w:rPr/>
            </w:pPr>
            <w:r>
              <w:rPr/>
              <w:t> </w:t>
            </w:r>
          </w:p>
        </w:tc>
        <w:tc>
          <w:tcPr>
            <w:tcW w:w="1089" w:type="dxa"/>
            <w:tcBorders/>
            <w:vAlign w:val="center"/>
          </w:tcPr>
          <w:p>
            <w:pPr>
              <w:pStyle w:val="TableContents"/>
              <w:bidi w:val="0"/>
              <w:spacing w:before="0" w:after="20"/>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3518" w:type="dxa"/>
            <w:gridSpan w:val="7"/>
            <w:tcBorders>
              <w:bottom w:val="single" w:sz="6"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8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37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Filed/Furnished Herewith</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Ending</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1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 Appendix 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6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10.9.2**</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r:id="rId41">
              <w:r>
                <w:rPr>
                  <w:rStyle w:val="InternetLink"/>
                  <w:rFonts w:ascii="Times New Roman" w:hAnsi="Times New Roman"/>
                  <w:color w:val="0000FF"/>
                  <w:sz w:val="20"/>
                  <w:u w:val="single"/>
                </w:rPr>
                <w:t>Amendment to Offer Letter between Gentherm Incorporated and Helen Xu, dated as of August 21, 2023</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9/30/23</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10/26/23</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r:id="rId42">
              <w:r>
                <w:rPr>
                  <w:rStyle w:val="InternetLink"/>
                  <w:rFonts w:ascii="Times New Roman" w:hAnsi="Times New Roman"/>
                  <w:color w:val="0000FF"/>
                  <w:sz w:val="20"/>
                  <w:u w:val="single"/>
                </w:rPr>
                <w:t>Severance Pay Plan for Eligible Employees of Gentherm Incorporated</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3/15/21</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r:id="rId43">
              <w:r>
                <w:rPr>
                  <w:rStyle w:val="InternetLink"/>
                  <w:rFonts w:ascii="Times New Roman" w:hAnsi="Times New Roman"/>
                  <w:color w:val="0000FF"/>
                  <w:sz w:val="20"/>
                  <w:u w:val="single"/>
                </w:rPr>
                <w:t>Form of First Amendment to Executive Offer Letter</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3/15/21</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10.12.1**</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r:id="rId44">
              <w:r>
                <w:rPr>
                  <w:rStyle w:val="InternetLink"/>
                  <w:rFonts w:ascii="Times New Roman" w:hAnsi="Times New Roman"/>
                  <w:color w:val="0000FF"/>
                  <w:sz w:val="20"/>
                  <w:u w:val="single"/>
                </w:rPr>
                <w:t>Amended and Restated Gentherm Incorporated Deferred Compensation Plan, dated May 20, 2019 (and effective January 1, 2019)</w:t>
              </w:r>
            </w:hyperlink>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6/30/19</w:t>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7/26/19</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10.12.2**</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r:id="rId45">
              <w:r>
                <w:rPr>
                  <w:rStyle w:val="InternetLink"/>
                  <w:rFonts w:ascii="Times New Roman" w:hAnsi="Times New Roman"/>
                  <w:color w:val="0000EE"/>
                  <w:sz w:val="20"/>
                  <w:u w:val="single"/>
                </w:rPr>
                <w:t>Deferred Compensation Agreement, between Gentherm Incorporated and Phillip Eyler, dated as of December 31, 2018</w:t>
              </w:r>
            </w:hyperlink>
            <w:r>
              <w:rPr>
                <w:rFonts w:ascii="Times New Roman" w:hAnsi="Times New Roman"/>
                <w:color w:val="000000"/>
                <w:sz w:val="20"/>
                <w:u w:val="single"/>
              </w:rPr>
              <w:t>.</w:t>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1/4/19</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r:id="rId46">
              <w:r>
                <w:rPr>
                  <w:rStyle w:val="InternetLink"/>
                  <w:rFonts w:ascii="Times New Roman" w:hAnsi="Times New Roman"/>
                  <w:color w:val="0000FF"/>
                  <w:sz w:val="20"/>
                  <w:u w:val="single"/>
                </w:rPr>
                <w:t>Confirmation of Issuer Forward Repurchase Transaction between Gentherm Incorporated and Bank of America, N.A., dated as of November 1, 2023</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11/2/23</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w:anchor="thrm-ex10_14.htm">
              <w:r>
                <w:rPr>
                  <w:rStyle w:val="InternetLink"/>
                  <w:rFonts w:ascii="Times New Roman" w:hAnsi="Times New Roman"/>
                  <w:color w:val="0000FF"/>
                  <w:sz w:val="20"/>
                  <w:u w:val="single"/>
                </w:rPr>
                <w:t>Summary of Non-Employee Director Compensation (effective starting with the 2024 annual meeting of shareholders)</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21.htm">
              <w:r>
                <w:rPr>
                  <w:rStyle w:val="InternetLink"/>
                  <w:rFonts w:ascii="Times New Roman" w:hAnsi="Times New Roman"/>
                  <w:color w:val="0000FF"/>
                  <w:sz w:val="20"/>
                  <w:u w:val="single"/>
                </w:rPr>
                <w:t>List of Subsidiaries (Direct and Indirect) of the Company</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right"/>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23_1.htm">
              <w:r>
                <w:rPr>
                  <w:rStyle w:val="InternetLink"/>
                  <w:rFonts w:ascii="Times New Roman" w:hAnsi="Times New Roman"/>
                  <w:color w:val="0000FF"/>
                  <w:sz w:val="20"/>
                  <w:u w:val="single"/>
                </w:rPr>
                <w:t>Consent of Ernst &amp; Young LLP</w:t>
              </w:r>
            </w:hyperlink>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24</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w:anchor="thrm-ex24.htm">
              <w:r>
                <w:rPr>
                  <w:rStyle w:val="InternetLink"/>
                  <w:rFonts w:ascii="Times New Roman" w:hAnsi="Times New Roman"/>
                  <w:color w:val="0000FF"/>
                  <w:sz w:val="20"/>
                  <w:u w:val="single"/>
                </w:rPr>
                <w:t>Power of Attorney</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right"/>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31_1.htm">
              <w:r>
                <w:rPr>
                  <w:rStyle w:val="InternetLink"/>
                  <w:rFonts w:ascii="Times New Roman" w:hAnsi="Times New Roman"/>
                  <w:color w:val="0000FF"/>
                  <w:sz w:val="20"/>
                  <w:u w:val="single"/>
                </w:rPr>
                <w:t>Section 302 Certification - CEO</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31_2.htm">
              <w:r>
                <w:rPr>
                  <w:rStyle w:val="InternetLink"/>
                  <w:rFonts w:ascii="Times New Roman" w:hAnsi="Times New Roman"/>
                  <w:color w:val="0000FF"/>
                  <w:sz w:val="20"/>
                  <w:u w:val="single"/>
                </w:rPr>
                <w:t>Section 302 Certification – CFO</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32_1.htm">
              <w:r>
                <w:rPr>
                  <w:rStyle w:val="InternetLink"/>
                  <w:rFonts w:ascii="Times New Roman" w:hAnsi="Times New Roman"/>
                  <w:color w:val="0000FF"/>
                  <w:sz w:val="20"/>
                  <w:u w:val="single"/>
                </w:rPr>
                <w:t>Section 906 Certification – CEO</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pPr>
            <w:hyperlink w:anchor="thrm-ex32_2.htm">
              <w:r>
                <w:rPr>
                  <w:rStyle w:val="InternetLink"/>
                  <w:rFonts w:ascii="Times New Roman" w:hAnsi="Times New Roman"/>
                  <w:color w:val="0000FF"/>
                  <w:sz w:val="20"/>
                  <w:u w:val="single"/>
                </w:rPr>
                <w:t>Section 906 Certification - CFO</w:t>
              </w:r>
            </w:hyperlink>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97</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pPr>
            <w:hyperlink w:anchor="thrm-ex97.htm">
              <w:r>
                <w:rPr>
                  <w:rStyle w:val="InternetLink"/>
                  <w:rFonts w:ascii="Times New Roman" w:hAnsi="Times New Roman"/>
                  <w:color w:val="0000FF"/>
                  <w:sz w:val="20"/>
                  <w:u w:val="single"/>
                </w:rPr>
                <w:t>Gentherm Incorporated Policy for the Recovery of Erroneously Awarded Compensation</w:t>
              </w:r>
            </w:hyperlink>
            <w:r>
              <w:rPr>
                <w:rFonts w:ascii="Times New Roman" w:hAnsi="Times New Roman"/>
                <w:color w:val="0000FF"/>
                <w:sz w:val="20"/>
              </w:rPr>
              <w:t xml:space="preserve"> </w:t>
            </w:r>
          </w:p>
        </w:tc>
        <w:tc>
          <w:tcPr>
            <w:tcW w:w="146" w:type="dxa"/>
            <w:tcBorders/>
            <w:vAlign w:val="center"/>
          </w:tcPr>
          <w:p>
            <w:pPr>
              <w:pStyle w:val="TableContents"/>
              <w:bidi w:val="0"/>
              <w:spacing w:before="100" w:after="283"/>
              <w:jc w:val="center"/>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center"/>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 xml:space="preserve">Inline XBRL Instance Document – The instance document does not appear in the Interactive Data File because its XBRL tags are embedded within the Inline XBRL document. </w:t>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100" w:after="283"/>
              <w:jc w:val="left"/>
              <w:rPr/>
            </w:pPr>
            <w:r>
              <w:rPr/>
              <w:t> </w:t>
            </w:r>
          </w:p>
        </w:tc>
        <w:tc>
          <w:tcPr>
            <w:tcW w:w="4375" w:type="dxa"/>
            <w:tcBorders/>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Cover Page Interactive Date File – the cover page XBRL tags are embedded within the Inline XBRL document</w:t>
            </w:r>
          </w:p>
        </w:tc>
        <w:tc>
          <w:tcPr>
            <w:tcW w:w="146" w:type="dxa"/>
            <w:tcBorders/>
            <w:vAlign w:val="center"/>
          </w:tcPr>
          <w:p>
            <w:pPr>
              <w:pStyle w:val="TableContents"/>
              <w:bidi w:val="0"/>
              <w:spacing w:before="100" w:after="283"/>
              <w:jc w:val="left"/>
              <w:rPr/>
            </w:pPr>
            <w:r>
              <w:rPr/>
              <w:t> </w:t>
            </w:r>
          </w:p>
        </w:tc>
        <w:tc>
          <w:tcPr>
            <w:tcW w:w="1089" w:type="dxa"/>
            <w:tcBorders/>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100" w:after="283"/>
              <w:jc w:val="left"/>
              <w:rPr/>
            </w:pPr>
            <w:r>
              <w:rPr/>
              <w:t> </w:t>
            </w:r>
          </w:p>
        </w:tc>
        <w:tc>
          <w:tcPr>
            <w:tcW w:w="511"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738"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1166" w:type="dxa"/>
            <w:tcBorders/>
            <w:vAlign w:val="center"/>
          </w:tcPr>
          <w:p>
            <w:pPr>
              <w:pStyle w:val="TableContents"/>
              <w:bidi w:val="0"/>
              <w:spacing w:before="100" w:after="283"/>
              <w:jc w:val="center"/>
              <w:rPr/>
            </w:pPr>
            <w:r>
              <w:rPr/>
              <w:t> </w:t>
            </w:r>
          </w:p>
        </w:tc>
        <w:tc>
          <w:tcPr>
            <w:tcW w:w="146" w:type="dxa"/>
            <w:tcBorders/>
            <w:vAlign w:val="center"/>
          </w:tcPr>
          <w:p>
            <w:pPr>
              <w:pStyle w:val="TableContents"/>
              <w:bidi w:val="0"/>
              <w:spacing w:before="100" w:after="283"/>
              <w:jc w:val="center"/>
              <w:rPr/>
            </w:pPr>
            <w:r>
              <w:rPr/>
              <w:t> </w:t>
            </w:r>
          </w:p>
        </w:tc>
        <w:tc>
          <w:tcPr>
            <w:tcW w:w="665" w:type="dxa"/>
            <w:tcBorders/>
            <w:vAlign w:val="center"/>
          </w:tcPr>
          <w:p>
            <w:pPr>
              <w:pStyle w:val="TableContents"/>
              <w:bidi w:val="0"/>
              <w:spacing w:before="10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Schedules and exhibits to this agreement have been omitted pursuant to Item 601(a)(5) of Regulation S-K. The Company agrees to furnish any omitted schedules or exhibits upon the request of the SEC.</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Documents are furnished not filed.</w:t>
      </w:r>
    </w:p>
    <w:p>
      <w:pPr>
        <w:pStyle w:val="TextBody"/>
        <w:bidi w:val="0"/>
        <w:spacing w:before="240" w:after="283"/>
        <w:jc w:val="left"/>
        <w:rPr>
          <w:rFonts w:ascii="Times New Roman" w:hAnsi="Times New Roman"/>
          <w:sz w:val="20"/>
        </w:rPr>
      </w:pPr>
      <w:bookmarkStart w:id="28" w:name="item_16"/>
      <w:bookmarkEnd w:id="28"/>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aps/>
          <w:color w:val="000000"/>
          <w:sz w:val="20"/>
        </w:rPr>
        <w:t>INDEX TO FINANCIAL STATEMENTS</w:t>
      </w:r>
      <w:r>
        <w:rPr>
          <w:rFonts w:ascii="Times New Roman" w:hAnsi="Times New Roman"/>
          <w:caps/>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9179"/>
        <w:gridCol w:w="109"/>
        <w:gridCol w:w="480"/>
        <w:gridCol w:w="437"/>
      </w:tblGrid>
      <w:tr>
        <w:trPr/>
        <w:tc>
          <w:tcPr>
            <w:tcW w:w="91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0" w:type="dxa"/>
            <w:tcBorders/>
            <w:shd w:fill="FFFFFF" w:val="clear"/>
            <w:vAlign w:val="center"/>
          </w:tcPr>
          <w:p>
            <w:pPr>
              <w:pStyle w:val="TableContents"/>
              <w:bidi w:val="0"/>
              <w:spacing w:before="0" w:after="283"/>
              <w:jc w:val="left"/>
              <w:rPr>
                <w:sz w:val="4"/>
                <w:szCs w:val="4"/>
              </w:rPr>
            </w:pPr>
            <w:r>
              <w:rPr>
                <w:sz w:val="4"/>
                <w:szCs w:val="4"/>
              </w:rPr>
            </w:r>
          </w:p>
        </w:tc>
        <w:tc>
          <w:tcPr>
            <w:tcW w:w="437" w:type="dxa"/>
            <w:tcBorders/>
            <w:shd w:fill="FFFFFF" w:val="clear"/>
            <w:vAlign w:val="center"/>
          </w:tcPr>
          <w:p>
            <w:pPr>
              <w:pStyle w:val="TableContents"/>
              <w:bidi w:val="0"/>
              <w:spacing w:before="0" w:after="283"/>
              <w:jc w:val="left"/>
              <w:rPr>
                <w:sz w:val="4"/>
                <w:szCs w:val="4"/>
              </w:rPr>
            </w:pPr>
            <w:r>
              <w:rPr>
                <w:sz w:val="4"/>
                <w:szCs w:val="4"/>
              </w:rPr>
            </w:r>
          </w:p>
        </w:tc>
      </w:tr>
      <w:tr>
        <w:trPr/>
        <w:tc>
          <w:tcPr>
            <w:tcW w:w="9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437" w:type="dxa"/>
            <w:tcBorders/>
            <w:tcMar>
              <w:top w:w="0" w:type="dxa"/>
              <w:left w:w="0" w:type="dxa"/>
              <w:bottom w:w="0" w:type="dxa"/>
              <w:right w:w="0" w:type="dxa"/>
            </w:tcMar>
            <w:vAlign w:val="center"/>
          </w:tcPr>
          <w:p>
            <w:pPr>
              <w:pStyle w:val="TableContents"/>
              <w:bidi w:val="0"/>
              <w:spacing w:before="0" w:after="20"/>
              <w:jc w:val="center"/>
              <w:rPr/>
            </w:pPr>
            <w:r>
              <w:rPr/>
              <w:t> </w:t>
            </w:r>
          </w:p>
        </w:tc>
      </w:tr>
      <w:tr>
        <w:trPr/>
        <w:tc>
          <w:tcPr>
            <w:tcW w:w="9179" w:type="dxa"/>
            <w:tcBorders/>
            <w:tcMar>
              <w:top w:w="0" w:type="dxa"/>
              <w:left w:w="0" w:type="dxa"/>
              <w:bottom w:w="0" w:type="dxa"/>
              <w:right w:w="0" w:type="dxa"/>
            </w:tcMar>
            <w:vAlign w:val="center"/>
          </w:tcPr>
          <w:p>
            <w:pPr>
              <w:pStyle w:val="TableContents"/>
              <w:bidi w:val="0"/>
              <w:spacing w:before="0" w:after="283"/>
              <w:jc w:val="left"/>
              <w:rPr/>
            </w:pPr>
            <w:hyperlink w:anchor="auditor_opinion_ey">
              <w:r>
                <w:rPr>
                  <w:rStyle w:val="InternetLink"/>
                  <w:rFonts w:ascii="Times New Roman" w:hAnsi="Times New Roman"/>
                  <w:color w:val="000080"/>
                  <w:sz w:val="20"/>
                </w:rPr>
                <w:t xml:space="preserve">Reports of Ernst &amp; Young LLP, Independent Registered Public Accounting Firm </w:t>
              </w:r>
            </w:hyperlink>
            <w:r>
              <w:rPr>
                <w:rFonts w:ascii="Times New Roman" w:hAnsi="Times New Roman"/>
                <w:color w:val="0000FF"/>
                <w:sz w:val="20"/>
              </w:rPr>
              <w:t>(PCAOB ID: 42)</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c>
          <w:tcPr>
            <w:tcW w:w="4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79"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rPr>
                <w:t>Consolidated Balance Sheets as of December 31, 2023 and 2022</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c>
          <w:tcPr>
            <w:tcW w:w="43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9179"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statements_of_income">
              <w:r>
                <w:rPr>
                  <w:rStyle w:val="InternetLink"/>
                  <w:rFonts w:ascii="Times New Roman" w:hAnsi="Times New Roman"/>
                  <w:color w:val="0000FF"/>
                  <w:sz w:val="20"/>
                </w:rPr>
                <w:t>Consolidated Statements of Income for the years ended December 31, 2023, 2022, and 2021</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c>
          <w:tcPr>
            <w:tcW w:w="43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179"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omprehensive">
              <w:r>
                <w:rPr>
                  <w:rStyle w:val="InternetLink"/>
                  <w:rFonts w:ascii="Times New Roman" w:hAnsi="Times New Roman"/>
                  <w:color w:val="0000FF"/>
                  <w:sz w:val="20"/>
                </w:rPr>
                <w:t>Consolidated Statements of Comprehensive Income for the years ended December 31, 2023, 2022, and 2021</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c>
          <w:tcPr>
            <w:tcW w:w="43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179"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hanges_in_sh">
              <w:r>
                <w:rPr>
                  <w:rStyle w:val="InternetLink"/>
                  <w:rFonts w:ascii="Times New Roman" w:hAnsi="Times New Roman"/>
                  <w:color w:val="0000FF"/>
                  <w:sz w:val="20"/>
                </w:rPr>
                <w:t>Consolidated Statements of Changes in Shareholders’ Equity for the years ended December 31, 2023, 2022, and 2021</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c>
          <w:tcPr>
            <w:tcW w:w="43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179"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ash_flows">
              <w:r>
                <w:rPr>
                  <w:rStyle w:val="InternetLink"/>
                  <w:rFonts w:ascii="Times New Roman" w:hAnsi="Times New Roman"/>
                  <w:color w:val="0000FF"/>
                  <w:sz w:val="20"/>
                </w:rPr>
                <w:t>Consolidated Statements of Cash Flows for the years ended December 31, 2023, 2022, and 2021</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c>
          <w:tcPr>
            <w:tcW w:w="43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179"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the_consolidated_financial_stat">
              <w:r>
                <w:rPr>
                  <w:rStyle w:val="InternetLink"/>
                  <w:rFonts w:ascii="Times New Roman" w:hAnsi="Times New Roman"/>
                  <w:color w:val="0000FF"/>
                  <w:sz w:val="20"/>
                </w:rPr>
                <w:t>Notes to the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c>
          <w:tcPr>
            <w:tcW w:w="43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9" w:name="auditor_opinion_ey"/>
      <w:bookmarkEnd w:id="29"/>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Shareholders and the Board of Directors of Gentherm Incorporated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Gentherm Incorporated (the Company) as of December 31, 2023 and 2022, the related consolidated statements of income, comprehensive income, changes in shareholders' equity and cash flows for each of the three years in the period ended December 31, 2023,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12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7"/>
        <w:gridCol w:w="8918"/>
      </w:tblGrid>
      <w:tr>
        <w:trPr/>
        <w:tc>
          <w:tcPr>
            <w:tcW w:w="1287" w:type="dxa"/>
            <w:tcBorders/>
            <w:vAlign w:val="center"/>
          </w:tcPr>
          <w:p>
            <w:pPr>
              <w:pStyle w:val="TableContents"/>
              <w:bidi w:val="0"/>
              <w:spacing w:before="0" w:after="283"/>
              <w:jc w:val="left"/>
              <w:rPr>
                <w:sz w:val="4"/>
                <w:szCs w:val="4"/>
              </w:rPr>
            </w:pPr>
            <w:r>
              <w:rPr>
                <w:sz w:val="4"/>
                <w:szCs w:val="4"/>
              </w:rPr>
            </w:r>
          </w:p>
        </w:tc>
        <w:tc>
          <w:tcPr>
            <w:tcW w:w="8918" w:type="dxa"/>
            <w:tcBorders/>
            <w:vAlign w:val="center"/>
          </w:tcPr>
          <w:p>
            <w:pPr>
              <w:pStyle w:val="TableContents"/>
              <w:bidi w:val="0"/>
              <w:spacing w:before="0" w:after="283"/>
              <w:jc w:val="left"/>
              <w:rPr>
                <w:sz w:val="4"/>
                <w:szCs w:val="4"/>
              </w:rPr>
            </w:pPr>
            <w:r>
              <w:rPr>
                <w:sz w:val="4"/>
                <w:szCs w:val="4"/>
              </w:rPr>
            </w:r>
          </w:p>
        </w:tc>
      </w:tr>
      <w:tr>
        <w:trPr/>
        <w:tc>
          <w:tcPr>
            <w:tcW w:w="1287" w:type="dxa"/>
            <w:tcBorders/>
            <w:tcMar>
              <w:top w:w="0" w:type="dxa"/>
              <w:left w:w="0" w:type="dxa"/>
              <w:bottom w:w="0" w:type="dxa"/>
              <w:right w:w="0" w:type="dxa"/>
            </w:tcMar>
            <w:vAlign w:val="center"/>
          </w:tcPr>
          <w:p>
            <w:pPr>
              <w:pStyle w:val="TableContents"/>
              <w:bidi w:val="0"/>
              <w:spacing w:before="0" w:after="283"/>
              <w:jc w:val="both"/>
              <w:rPr/>
            </w:pPr>
            <w:r>
              <w:rPr/>
              <w:t> </w:t>
            </w:r>
          </w:p>
        </w:tc>
        <w:tc>
          <w:tcPr>
            <w:tcW w:w="8918"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Valuation of Goodwill</w:t>
            </w:r>
          </w:p>
        </w:tc>
      </w:tr>
      <w:tr>
        <w:trPr/>
        <w:tc>
          <w:tcPr>
            <w:tcW w:w="1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8918"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As of December 31, 2023, the Company’s goodwill was $104.1 million consisting of $76.7 million in the automotive segment and $27.4 million in the medical segment. As discussed in Note 2 to the consolidated financial statements, goodwill is tested for impairment at least annually as of December 31 and whenever events or changes in circumstances indicate that it is more likely than not that a reporting unit’s fair value is less than it’s carrying amount.</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As discussed in Note 7, during the second quarter of 2023, an indicator of impairment was identified in the medical segment (reporting unit) and the Company performed an interim quantitative assessment as of June 30, 2023. The results of this quantitative analysis indicated the carrying value of the reporting unit exceeded the fair value of the reporting unit, and accordingly an impairment expense was recorded for $19.5 million. </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Auditing management’s interim and annual goodwill impairment assessments for the medical reporting unit and a reporting unit within its automotive segment were complex and highly judgmental due to the significant estimation required to determine the fair value of the reporting units. In particular, the fair value estimates used in the valuation of these reporting units were sensitive to significant assumptions depending on the reporting unit, such as changes in the discount rate, revenue growth rates, including the terminal growth rate and operating margins, which are affected by expectations about future market or economic conditions.</w:t>
            </w:r>
          </w:p>
        </w:tc>
      </w:tr>
      <w:tr>
        <w:trPr/>
        <w:tc>
          <w:tcPr>
            <w:tcW w:w="1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918"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We obtained an understanding, evaluated the design and tested the operating effectiveness of controls over the Company’s interim and annual goodwill assessment, and annual forecasting process whereby the Company develops significant assumptions that are used in its analyses. This included controls over management's review of the valuation model and the significant assumptions used in the fair value measurements discussed above.</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To test the estimated fair value of the Company’s reporting units, we performed audit procedures that included, among others, assessing the methodologies used and directly testing the significant assumptions and the underlying data used by the Company in its analyses, including assessing the completeness and accuracy of such underlying data. We utilized internal valuation specialists to assist in the evaluation of the assumptions and other relevant information that are most significant to the fair value estimate of the reporting units, such as assessing the fair value methodologies applied and evaluating the reasonableness of the discount rate selected by management. We compared the significant assumptions used by management to current industry and economic trends, historical performance, guideline public companies in the same industry and strategic plans. We performed sensitivity analyses of significant assumptions to evaluate the changes in the fair value of the reporting units that would result from changes in the assumptions. Furthermore, we assessed the appropriateness of the disclosures in the consolidated financial statements.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Detroit, Michigan</w:t>
      </w:r>
    </w:p>
    <w:p>
      <w:pPr>
        <w:pStyle w:val="TextBody"/>
        <w:bidi w:val="0"/>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 the Shareholders and the Board of Directors of Gentherm Incorporated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audited Gentherm Incorporated’s internal control over financial reporting as of December 31, 2023, based on criteria established in Internal Control—Integrated Framework issued by the Committee of Sponsoring Organizations of the Treadway Commission (2013 framework) (the COSO criteria). In our opinion, the Gentherm Incorporated (the Company) maintained, in all material respects, effective internal control over financial reporting as of December 31, 2023, based on the COSO criteria.</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2023 and 2022, the related consolidated statements of income, comprehensive income, changes in shareholders' equity and cash flows for each of the three years in the period ended December 31, 2023, and the related notes and financial statement schedule listed in the Index at Item 15 and our report dated February 21, 2024 expressed an unqualified opinion thereon.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Detroit, Michigan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February 21, 2024</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aps/>
          <w:color w:val="000000"/>
          <w:sz w:val="20"/>
        </w:rPr>
        <w:t>GENTHERM INCORPORATED</w:t>
      </w:r>
      <w:r>
        <w:rPr>
          <w:rFonts w:ascii="Times New Roman" w:hAnsi="Times New Roman"/>
          <w:caps/>
          <w:color w:val="000000"/>
          <w:sz w:val="20"/>
        </w:rPr>
        <w:t xml:space="preserve"> </w:t>
      </w:r>
    </w:p>
    <w:p>
      <w:pPr>
        <w:pStyle w:val="TextBody"/>
        <w:bidi w:val="0"/>
        <w:spacing w:before="120" w:after="283"/>
        <w:jc w:val="center"/>
        <w:rPr>
          <w:rFonts w:ascii="Times New Roman" w:hAnsi="Times New Roman"/>
          <w:sz w:val="20"/>
        </w:rPr>
      </w:pPr>
      <w:bookmarkStart w:id="30" w:name="consolidated_balance_sheets"/>
      <w:bookmarkEnd w:id="3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247,131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683,867</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244,480</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119,774</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73,933</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29,945</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69,840</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182,225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285,625</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232,653</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20,538</w:t>
            </w:r>
          </w:p>
        </w:tc>
        <w:tc>
          <w:tcPr>
            <w:tcW w:w="591" w:type="dxa"/>
            <w:tcBorders/>
            <w:shd w:fill="CFF0FC" w:val="clear"/>
            <w:vAlign w:val="center"/>
          </w:tcPr>
          <w:p>
            <w:pPr>
              <w:pStyle w:val="TableContents"/>
              <w:bidi w:val="0"/>
              <w:spacing w:before="0" w:after="283"/>
              <w:jc w:val="left"/>
              <w:rPr/>
            </w:pPr>
            <w:r>
              <w:rPr/>
              <w:t> </w:t>
            </w:r>
          </w:p>
        </w:tc>
      </w:tr>
      <w:tr>
        <w:trPr/>
        <w:tc>
          <w:tcPr>
            <w:tcW w:w="68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benefit obligation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567,027</w:t>
            </w:r>
          </w:p>
        </w:tc>
        <w:tc>
          <w:tcPr>
            <w:tcW w:w="591" w:type="dxa"/>
            <w:tcBorders/>
            <w:shd w:fill="FFFFFF" w:val="clear"/>
            <w:vAlign w:val="center"/>
          </w:tcPr>
          <w:p>
            <w:pPr>
              <w:pStyle w:val="TableContents"/>
              <w:bidi w:val="0"/>
              <w:spacing w:before="0" w:after="283"/>
              <w:jc w:val="left"/>
              <w:rPr/>
            </w:pPr>
            <w:r>
              <w:rPr/>
              <w:t> </w:t>
            </w:r>
          </w:p>
        </w:tc>
      </w:tr>
      <w:tr>
        <w:trPr/>
        <w:tc>
          <w:tcPr>
            <w:tcW w:w="68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 par value; 55,000,000 shares authorized 31,542,001 and 33,202,082 issued and 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8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1" w:name="consolidated_statements_of_income"/>
      <w:bookmarkEnd w:id="31"/>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INCOME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left"/>
        <w:rPr/>
      </w:pPr>
      <w:r>
        <w:rPr/>
        <w:t> </w:t>
      </w:r>
    </w:p>
    <w:tbl>
      <w:tblPr>
        <w:tblW w:w="9983" w:type="dxa"/>
        <w:jc w:val="left"/>
        <w:tblInd w:w="0" w:type="dxa"/>
        <w:tblLayout w:type="fixed"/>
        <w:tblCellMar>
          <w:top w:w="28" w:type="dxa"/>
          <w:left w:w="28" w:type="dxa"/>
          <w:bottom w:w="28" w:type="dxa"/>
          <w:right w:w="28" w:type="dxa"/>
        </w:tblCellMar>
      </w:tblPr>
      <w:tblGrid>
        <w:gridCol w:w="5196"/>
        <w:gridCol w:w="146"/>
        <w:gridCol w:w="211"/>
        <w:gridCol w:w="931"/>
        <w:gridCol w:w="166"/>
        <w:gridCol w:w="146"/>
        <w:gridCol w:w="211"/>
        <w:gridCol w:w="931"/>
        <w:gridCol w:w="166"/>
        <w:gridCol w:w="146"/>
        <w:gridCol w:w="211"/>
        <w:gridCol w:w="931"/>
        <w:gridCol w:w="591"/>
      </w:tblGrid>
      <w:tr>
        <w:trPr/>
        <w:tc>
          <w:tcPr>
            <w:tcW w:w="5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1,046,150</w:t>
            </w:r>
          </w:p>
        </w:tc>
        <w:tc>
          <w:tcPr>
            <w:tcW w:w="59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303,631</w:t>
            </w:r>
          </w:p>
        </w:tc>
        <w:tc>
          <w:tcPr>
            <w:tcW w:w="59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109,554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intangible assets and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115,006</w:t>
            </w:r>
          </w:p>
        </w:tc>
        <w:tc>
          <w:tcPr>
            <w:tcW w:w="59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 gain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59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113,852</w:t>
            </w:r>
          </w:p>
        </w:tc>
        <w:tc>
          <w:tcPr>
            <w:tcW w:w="591" w:type="dxa"/>
            <w:tcBorders/>
            <w:shd w:fill="CFF0FC"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2" w:name="consolidated_statements_of_comprehensive"/>
      <w:bookmarkEnd w:id="32"/>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3"/>
        <w:gridCol w:w="146"/>
        <w:gridCol w:w="211"/>
        <w:gridCol w:w="676"/>
        <w:gridCol w:w="146"/>
        <w:gridCol w:w="146"/>
        <w:gridCol w:w="211"/>
        <w:gridCol w:w="736"/>
        <w:gridCol w:w="166"/>
        <w:gridCol w:w="146"/>
        <w:gridCol w:w="211"/>
        <w:gridCol w:w="736"/>
        <w:gridCol w:w="591"/>
      </w:tblGrid>
      <w:tr>
        <w:trPr/>
        <w:tc>
          <w:tcPr>
            <w:tcW w:w="6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591" w:type="dxa"/>
            <w:tcBorders/>
            <w:shd w:fill="CFF0FC" w:val="clear"/>
            <w:vAlign w:val="center"/>
          </w:tcPr>
          <w:p>
            <w:pPr>
              <w:pStyle w:val="TableContents"/>
              <w:bidi w:val="0"/>
              <w:spacing w:before="0" w:after="283"/>
              <w:jc w:val="left"/>
              <w:rPr/>
            </w:pPr>
            <w:r>
              <w:rPr/>
              <w:t> </w:t>
            </w:r>
          </w:p>
        </w:tc>
      </w:tr>
      <w:tr>
        <w:trPr/>
        <w:tc>
          <w:tcPr>
            <w:tcW w:w="6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0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Pension benefit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0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foreign currency derivative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commodity derivative securities,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consolidated_statements_of_changes_in_sh"/>
      <w:bookmarkEnd w:id="33"/>
      <w:r>
        <w:rPr>
          <w:rFonts w:ascii="Times New Roman" w:hAnsi="Times New Roman"/>
          <w:b/>
          <w:color w:val="000000"/>
          <w:sz w:val="20"/>
        </w:rPr>
        <w:t>CONSOLIDATED STATEMENTS OF CHANGES IN SHAREHOLDERS’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08"/>
        <w:gridCol w:w="146"/>
        <w:gridCol w:w="146"/>
        <w:gridCol w:w="676"/>
        <w:gridCol w:w="166"/>
        <w:gridCol w:w="146"/>
        <w:gridCol w:w="211"/>
        <w:gridCol w:w="781"/>
        <w:gridCol w:w="166"/>
        <w:gridCol w:w="146"/>
        <w:gridCol w:w="211"/>
        <w:gridCol w:w="631"/>
        <w:gridCol w:w="166"/>
        <w:gridCol w:w="146"/>
        <w:gridCol w:w="289"/>
        <w:gridCol w:w="1017"/>
        <w:gridCol w:w="166"/>
        <w:gridCol w:w="146"/>
        <w:gridCol w:w="239"/>
        <w:gridCol w:w="887"/>
        <w:gridCol w:w="166"/>
        <w:gridCol w:w="146"/>
        <w:gridCol w:w="211"/>
        <w:gridCol w:w="781"/>
        <w:gridCol w:w="211"/>
      </w:tblGrid>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2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586,331</w:t>
            </w:r>
          </w:p>
        </w:tc>
        <w:tc>
          <w:tcPr>
            <w:tcW w:w="211" w:type="dxa"/>
            <w:tcBorders/>
            <w:shd w:fill="CFF0FC"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211" w:type="dxa"/>
            <w:tcBorders/>
            <w:shd w:fill="FFFFFF" w:val="clear"/>
            <w:vAlign w:val="center"/>
          </w:tcPr>
          <w:p>
            <w:pPr>
              <w:pStyle w:val="TableContents"/>
              <w:bidi w:val="0"/>
              <w:spacing w:before="0" w:after="283"/>
              <w:jc w:val="left"/>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15,981</w:t>
            </w:r>
          </w:p>
        </w:tc>
        <w:tc>
          <w:tcPr>
            <w:tcW w:w="211" w:type="dxa"/>
            <w:tcBorders/>
            <w:shd w:fill="FFFFFF" w:val="clear"/>
            <w:vAlign w:val="center"/>
          </w:tcPr>
          <w:p>
            <w:pPr>
              <w:pStyle w:val="TableContents"/>
              <w:bidi w:val="0"/>
              <w:spacing w:before="0" w:after="283"/>
              <w:jc w:val="left"/>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211" w:type="dxa"/>
            <w:tcBorders/>
            <w:shd w:fill="CFF0FC"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net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211" w:type="dxa"/>
            <w:tcBorders/>
            <w:shd w:fill="CFF0FC"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211" w:type="dxa"/>
            <w:tcBorders/>
            <w:shd w:fill="FFFFFF" w:val="clear"/>
            <w:vAlign w:val="center"/>
          </w:tcPr>
          <w:p>
            <w:pPr>
              <w:pStyle w:val="TableContents"/>
              <w:bidi w:val="0"/>
              <w:spacing w:before="0" w:after="283"/>
              <w:jc w:val="left"/>
              <w:rPr/>
            </w:pPr>
            <w:r>
              <w:rPr/>
              <w:t> </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10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w:t>
            </w:r>
          </w:p>
        </w:tc>
        <w:tc>
          <w:tcPr>
            <w:tcW w:w="211" w:type="dxa"/>
            <w:tcBorders/>
            <w:shd w:fill="CFF0FC"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bookmarkStart w:id="34" w:name="consolidated_statements_of_cash_flows"/>
      <w:bookmarkEnd w:id="34"/>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8"/>
        <w:gridCol w:w="146"/>
        <w:gridCol w:w="211"/>
        <w:gridCol w:w="841"/>
        <w:gridCol w:w="166"/>
        <w:gridCol w:w="146"/>
        <w:gridCol w:w="211"/>
        <w:gridCol w:w="841"/>
        <w:gridCol w:w="166"/>
        <w:gridCol w:w="146"/>
        <w:gridCol w:w="211"/>
        <w:gridCol w:w="841"/>
        <w:gridCol w:w="1011"/>
      </w:tblGrid>
      <w:tr>
        <w:trPr/>
        <w:tc>
          <w:tcPr>
            <w:tcW w:w="5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2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disposition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intangible assets and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Provisions for 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800"/>
              <w:jc w:val="right"/>
              <w:rPr/>
            </w:pPr>
            <w:r>
              <w:rPr/>
              <w:t> </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25,099</w:t>
            </w:r>
          </w:p>
        </w:tc>
        <w:tc>
          <w:tcPr>
            <w:tcW w:w="1011" w:type="dxa"/>
            <w:tcBorders/>
            <w:shd w:fill="CFF0FC" w:val="clear"/>
            <w:vAlign w:val="center"/>
          </w:tcPr>
          <w:p>
            <w:pPr>
              <w:pStyle w:val="TableContents"/>
              <w:bidi w:val="0"/>
              <w:spacing w:before="0" w:after="283"/>
              <w:ind w:left="0" w:right="0" w:firstLine="800"/>
              <w:jc w:val="left"/>
              <w:rPr/>
            </w:pPr>
            <w:r>
              <w:rPr/>
              <w:t> </w:t>
            </w:r>
          </w:p>
        </w:tc>
      </w:tr>
      <w:tr>
        <w:trPr/>
        <w:tc>
          <w:tcPr>
            <w:tcW w:w="5268"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(42,372</w:t>
            </w:r>
          </w:p>
        </w:tc>
        <w:tc>
          <w:tcPr>
            <w:tcW w:w="1011"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1011" w:type="dxa"/>
            <w:tcBorders/>
            <w:shd w:fill="CFF0FC" w:val="clear"/>
            <w:vAlign w:val="center"/>
          </w:tcPr>
          <w:p>
            <w:pPr>
              <w:pStyle w:val="TableContents"/>
              <w:bidi w:val="0"/>
              <w:spacing w:before="0" w:after="283"/>
              <w:ind w:left="0" w:right="0" w:firstLine="800"/>
              <w:jc w:val="left"/>
              <w:rPr/>
            </w:pPr>
            <w:r>
              <w:rPr/>
              <w:t> </w:t>
            </w:r>
          </w:p>
        </w:tc>
      </w:tr>
      <w:tr>
        <w:trPr/>
        <w:tc>
          <w:tcPr>
            <w:tcW w:w="5268"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w:t>
            </w:r>
          </w:p>
        </w:tc>
        <w:tc>
          <w:tcPr>
            <w:tcW w:w="1011" w:type="dxa"/>
            <w:tcBorders/>
            <w:shd w:fill="FFFFFF" w:val="clear"/>
            <w:vAlign w:val="center"/>
          </w:tcPr>
          <w:p>
            <w:pPr>
              <w:pStyle w:val="TableContents"/>
              <w:bidi w:val="0"/>
              <w:spacing w:before="0" w:after="283"/>
              <w:ind w:left="0" w:right="0" w:firstLine="800"/>
              <w:jc w:val="left"/>
              <w:rPr/>
            </w:pPr>
            <w:r>
              <w:rPr/>
              <w:t> </w:t>
            </w:r>
          </w:p>
        </w:tc>
      </w:tr>
      <w:tr>
        <w:trPr/>
        <w:tc>
          <w:tcPr>
            <w:tcW w:w="5268"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143,076</w:t>
            </w:r>
          </w:p>
        </w:tc>
        <w:tc>
          <w:tcPr>
            <w:tcW w:w="1011" w:type="dxa"/>
            <w:tcBorders/>
            <w:shd w:fill="FFFFFF" w:val="clear"/>
            <w:vAlign w:val="center"/>
          </w:tcPr>
          <w:p>
            <w:pPr>
              <w:pStyle w:val="TableContents"/>
              <w:bidi w:val="0"/>
              <w:spacing w:before="0" w:after="283"/>
              <w:jc w:val="left"/>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(38,468</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businesses, net of cash acquired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deferred purchase price of factored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technology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(48,830</w:t>
            </w:r>
          </w:p>
        </w:tc>
        <w:tc>
          <w:tcPr>
            <w:tcW w:w="1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200"/>
              <w:jc w:val="right"/>
              <w:rPr/>
            </w:pPr>
            <w:r>
              <w:rPr/>
              <w:t> </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Borrowings on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(153,243</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Common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withheld and paid on employees' share-based payment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0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the repurchase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0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contingent consideration payment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(169,141</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Foreign currency effect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(77,739</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6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268,345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6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190,606</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200"/>
              <w:jc w:val="right"/>
              <w:rPr/>
            </w:pPr>
            <w:r>
              <w:rPr/>
              <w:t> </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14,857</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011" w:type="dxa"/>
            <w:tcBorders/>
            <w:shd w:fill="FFFFFF" w:val="clear"/>
            <w:vAlign w:val="center"/>
          </w:tcPr>
          <w:p>
            <w:pPr>
              <w:pStyle w:val="TableContents"/>
              <w:bidi w:val="0"/>
              <w:spacing w:before="0" w:after="283"/>
              <w:jc w:val="left"/>
              <w:rPr/>
            </w:pPr>
            <w:r>
              <w:rPr/>
              <w:t> </w:t>
            </w:r>
          </w:p>
        </w:tc>
      </w:tr>
      <w:tr>
        <w:trPr/>
        <w:tc>
          <w:tcPr>
            <w:tcW w:w="5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52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Period-end balance of accounts payable for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52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purchase price of receivables factored in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5" w:name="notes_to_the_consolidated_financial_stat"/>
      <w:bookmarkEnd w:id="35"/>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Gentherm Incorporated, a Michigan corporation, and its consolidated subsidiaries (“Gentherm”, “we”, “us”, “our” or the “Company”) is the global market leader of innovative thermal management and pneumatic comfort technologies for the automotive industry and a leader in medical patient temperature management. Automotive products include variable temperature Climate Control Seats, heated automotive interior systems (including heated seats, steering wheels, armrests and other components), battery performance solutions, cable systems, lumbar and massage comfort solutions, fuel management valves and other valves for brake and engine systems, and other electronic devices. Our automotive products can be found on vehicles manufactured by nearly all the major original equipment manufacturers (“OEMs”) operating in North America and Europe, and several major OEMs in Asia. We operate in locations aligned with our major customers’ product strategies to provide locally enhanced design, integration and production capabilities. Medical products include patient temperature management systems. Our medical products can be found in hospitals throughout the world, primarily in the U.S., China, Germany and Brazil. The Company is also developing a number of new technologies and products that will help enable improvements to existing products, improve health, wellness and patient outcomes and will lead to new product applications for existing and new and adjacent markets.</w:t>
      </w:r>
    </w:p>
    <w:p>
      <w:pPr>
        <w:pStyle w:val="TextBody"/>
        <w:bidi w:val="0"/>
        <w:spacing w:before="360" w:after="283"/>
        <w:jc w:val="left"/>
        <w:rPr>
          <w:rFonts w:ascii="Times New Roman" w:hAnsi="Times New Roman"/>
          <w:sz w:val="20"/>
        </w:rPr>
      </w:pPr>
      <w:r>
        <w:rPr>
          <w:rFonts w:ascii="Times New Roman" w:hAnsi="Times New Roman"/>
          <w:b/>
          <w:color w:val="000000"/>
          <w:sz w:val="20"/>
        </w:rPr>
        <w:t>Note 2 —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have been prepared in accordance with accounting principles generally accepted in the United States of America (“GAAP”).</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its wholly owned subsidiaries and those entities in which it has a controlling financial interest. The Company evaluates its relationship with other entities for consolidation and to identify whether such entities are variable interest entities (“VIE”) and to assess whether the Company is the primary beneficiary of such entities. Investments in affiliates in which Gentherm does not have control but does have the ability to exercise significant influence over operating and financial policies are accounted for under the equity method. When Gentherm does not have the ability to exercise significant influence (generally when ownership interest is less than 20%), investments in affiliates are measured at cost, less impairments, adjusted for observable price changes in orderly transactions for identical or similar investments of the same issuer.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Intercompany transactions and balances between consolidated businesses have been eliminated.</w:t>
      </w:r>
    </w:p>
    <w:p>
      <w:pPr>
        <w:pStyle w:val="TextBody"/>
        <w:bidi w:val="0"/>
        <w:spacing w:before="24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preparing these consolidated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outside sources, as appropriate. These estimates and assumptions are subject to an inherent degree of uncertainty. We are not presently aware of any events or circumstances that would require us to update such estimates and assumptions or revise the carrying value of our assets or liabilities. Our estimates may change, however, as new events occur and additional information is obtained. As a result, actual results may differ significantly from our estimates, and any such differences may be material to our 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Topic 805, “Business Combinations,” acquisitions are recorded using the acquisition method of accounting. The Company includes the operating results of acquired entities from their respective dates of acquisition.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recognizes and measures the identifiable assets acquired, liabilities assumed, and any non-controlling interest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 During the measurement period, which may be up to one year from the acquisition date, the Company may record adjustments to assets acquired and liabilities assumed with the corresponding offset to goodwill.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two reportable segments: </w:t>
      </w:r>
      <w:r>
        <w:rPr>
          <w:rFonts w:ascii="Times New Roman" w:hAnsi="Times New Roman"/>
          <w:i/>
          <w:color w:val="000000"/>
          <w:sz w:val="20"/>
        </w:rPr>
        <w:t>Automotive</w:t>
      </w:r>
      <w:r>
        <w:rPr>
          <w:rFonts w:ascii="Times New Roman" w:hAnsi="Times New Roman"/>
          <w:color w:val="000000"/>
          <w:sz w:val="20"/>
        </w:rPr>
        <w:t xml:space="preserve"> and </w:t>
      </w:r>
      <w:r>
        <w:rPr>
          <w:rFonts w:ascii="Times New Roman" w:hAnsi="Times New Roman"/>
          <w:i/>
          <w:color w:val="000000"/>
          <w:sz w:val="20"/>
        </w:rPr>
        <w:t>Medical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Automotive reporting segment is comprised of the results from our global automotive businesses, including the design, development, manufacturing and sales of automotive climate comfort systems, automotive cable systems, battery performance solutions, lumbar and massage comfort solutions, valve systems, and automotive electronic and software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reporting segment is comprised of the results from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from agreements containing enforceable rights and obligations, when promised goods are delivered or services are completed. Taxes assessed by a governmental authority that are both imposed on and concurrent with a specific revenue-producing transaction, that are collected by the Company from a customer, are excluded from Product revenues. Shipping and handling fees billed to customers are included in Product revenues, while costs of shipping and handling are included in Cost of sales.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Automotive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production parts to its customers under long-term supply agreements (“LTAs”). The duration of an LTA is generally consistent with the life cycle of a vehicle; however, a LTA does not reach the level of a performance obligation until Gentherm receives either a purchase order and/or a materials release from its customer for a specific number of production parts at a specified price, at which point an enforceable contract exists. Revenue is recognized when control of the production parts has transferred to the customer according to the terms of the contract, which typically occurs when the parts are shipped or delivered to the customer’s premises. Revenue is measured as the amount of consideration we expect to receive in exchange for transferring production parts.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LTAs provide for annual price reductions over the production life of the vehicle. Agreements that are determined to provide customers with purchase option discounts that would not be received without entering into the contract are considered to contain a material right (for example, a discount given to a customer that is incremental to the range of discounts typically given to that class of customer). The material right represents a purchase option that provides the customer with the ability to purchase additional production parts at a set price in the future and is accounted for as a separate performance obligation. Under these circumstances, each transfer of production parts under the LTA requires allocation of the purchase price to the production part and the purchase option. As a practical alternative to estimating the standalone selling price of an option, the Company allocates transaction price to the purchase option by reference to the production part volumes expected to be ordered and the consideration expected to be received over the life of the vehicle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production part’s relative standalone selling price observed under the LTA is subtracted from the total amount of consideration expected to be received in exchange for transferring of parts under the current contract and the difference is allocated to the purchase option. Revenue from options containing a material right is recognized when the amounts billed to the customer for production parts transferred, under the LTA, is less than the standalone selling price of those production parts.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Medical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from our patient temperature management business unit are generated from the sale of products and equipment. Our medical products and equipment focus on body and blood temperature management. The Company sells medical products and equipment primarily through distributor and group purchasing organization agreements. These agreements allow member participants to the distributor or group purchasing organization to make purchases at discounted prices negotiated by the distributor or group purchasing organization. A rebate is incurred at the point in time a member participant purchases product covered under these types of agreements. Rebates are accounted for as variable consideration, using an expected value, probability weighted approach, based on the level of sales to the distributor and the time lag between the initial sale and the rebate claim in determining the transaction price of a contract. Revenue is recognized at the point in time the medical products or equipment is transferred to the customer.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Assets Recognized from the Costs to Obtain a Contract with a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 material contract assets or contract liabilities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an asset for the incremental costs of obtaining a contract with a customer if the benefits of those costs are expected to be realized for a period greater than one year. Total capitalized costs to obtain a contract were $7,305 and $2,239 as of December 31, 2023 and 2022, respectively. These amounts are recorded in Other non-current assets and are being amortized into Product revenues over the expected production life of the applicable program. During the year ended December 31, 2023 and 2022, $179 and $78, respectively, was amortized into Product revenues.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maturities of less than 90 days to be cash equivalents. The Company had Cash and cash equivalents of $125,251 and $108,620 held in foreign jurisdictions as of December 31, 2023 and 2022,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assets, which subject the Company to concentration of credit risk, consist primarily of cash equivalents, short-term investments, accounts receivable and notes receivable. Cash equivalents consist primarily of money market funds managed by major financial services companies. The credit risk for these cash equivalents is considered low. As of December 31, 2023, the Company’s Automotive customers, Adient and Lear both individually represented 19% and 17%, respectively, of the Company’s accounts receivable balance. As of December 31, 2022, the Company’s Automotive customers, Adient and Lear both individually represented 18% and 17%, respectively, of the Company’s accounts receivable balance. </w:t>
      </w:r>
    </w:p>
    <w:p>
      <w:pPr>
        <w:pStyle w:val="TextBody"/>
        <w:bidi w:val="0"/>
        <w:spacing w:before="24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stated at the invoiced amount, less allowance for doubtful accounts for estimated amounts not expected to be collected, and do not bear interest. The Company determines the allowances based on historical write-off experience by industry and regional economic data, current expectations of future credit losses and historical cash discounts. The Company’s accounts receivables are continually assessed for collectability and any allowance is recorded based upon the age of outstanding receivables, historical payment experience and customer creditworthiness. We write-off accounts receivable when they become uncollectible. The allowance for doubtful accounts was $1,171 and $1,220 as of December 31, 2023 and 2022, respectively. </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allowance for doubtful accounts related to accounts receivable and related activity are summarized below:</w:t>
      </w:r>
    </w:p>
    <w:tbl>
      <w:tblPr>
        <w:tblW w:w="5983" w:type="dxa"/>
        <w:jc w:val="left"/>
        <w:tblInd w:w="0" w:type="dxa"/>
        <w:tblLayout w:type="fixed"/>
        <w:tblCellMar>
          <w:top w:w="28" w:type="dxa"/>
          <w:left w:w="28" w:type="dxa"/>
          <w:bottom w:w="28" w:type="dxa"/>
          <w:right w:w="28" w:type="dxa"/>
        </w:tblCellMar>
      </w:tblPr>
      <w:tblGrid>
        <w:gridCol w:w="2596"/>
        <w:gridCol w:w="146"/>
        <w:gridCol w:w="211"/>
        <w:gridCol w:w="571"/>
        <w:gridCol w:w="166"/>
        <w:gridCol w:w="146"/>
        <w:gridCol w:w="211"/>
        <w:gridCol w:w="631"/>
        <w:gridCol w:w="166"/>
        <w:gridCol w:w="146"/>
        <w:gridCol w:w="211"/>
        <w:gridCol w:w="57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costs and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21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Deductions from reserves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Asia-Pacific region, the Company receives bank notes from certain customers to settle trade receivables. The collection of such bank notes is included in operating cash flows based on the substance of the underlying transactions, which are operating in nature. Bank notes held by the Company are classified as notes receivable within other current assets. The Company may hold such bank notes until maturity, exchange them with suppliers to settle liabilities, or sell them to third-party financial institutions in exchange for cash.</w:t>
      </w:r>
    </w:p>
    <w:p>
      <w:pPr>
        <w:pStyle w:val="TextBody"/>
        <w:bidi w:val="0"/>
        <w:spacing w:before="24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inventory is measured at the lower of cost or net realizable value. Raw materials, components and consumables are measured using the weighted average cost method. Work-in-process and finished goods are measured using the first-in first-out method. If the net realizable value expected on the reporting date is below cost, a write-down is recorded to adjust inventory to its net realizable value. We recognize a reserve for obsolete and slow-moving inventories based on estimates of future sales and an inventory item’s capacity to be repurposed for a different use. We consider the number of months' supply on hand based on current planned requirements, uncommitted future projections and historical usage in estimating the inventory reserve.</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including additions and improvements, are recorded at cost less accumulated depreciation. Expenditures for general repairs and maintenance are charged to expense as incurred. When property or equipment is retired or otherwise disposed of, the related cost and accumulated depreciation are removed from the accounts. Gains or losses from retirements and disposals are recorded as Operating income or expense. The Company evaluates the recoverability of long-lived assets when events and circumstances indicate that the assets may be impaired and the undiscounted net cash flows estimated to be generated by those assets are less than their carrying value. If the net carrying value exceeds the fair value, an impairment loss exists and is calculated based on either estimated salvage value or estimated orderly liquidation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is computed using the straight-line method. The estimated useful lives of the Company’s Property and equipment are as follows: </w:t>
      </w:r>
    </w:p>
    <w:tbl>
      <w:tblPr>
        <w:tblW w:w="3853" w:type="dxa"/>
        <w:jc w:val="left"/>
        <w:tblInd w:w="0" w:type="dxa"/>
        <w:tblLayout w:type="fixed"/>
        <w:tblCellMar>
          <w:top w:w="28" w:type="dxa"/>
          <w:left w:w="28" w:type="dxa"/>
          <w:bottom w:w="28" w:type="dxa"/>
          <w:right w:w="28" w:type="dxa"/>
        </w:tblCellMar>
      </w:tblPr>
      <w:tblGrid>
        <w:gridCol w:w="2476"/>
        <w:gridCol w:w="146"/>
        <w:gridCol w:w="123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30 years</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and equipment</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tooling</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to 10 years</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Term of lease</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5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depreciation expense of $42,186, $33,730 and $29,622 for the years ended December 31, 2023, 2022 and 2021,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Tooling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incurs costs related to tooling used in the manufacture of products sold to its customers. In some cases, the Company enters into contracts with its customers whereby the Company incurs the costs to design, develop and purchase tooling and is then reimbursed by the customer under a reimbursement contract. Tooling costs that will be reimbursed by customers are included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Other current assets in the accompanying consolidated balance sheets at the lower of accumulated cost or the customer reimbursable amount. As of December 31, 2023 and 2022, the Company had $16,877 and $15,267, respectively, of reimbursable tooling costs capitalized. Company-owned tooling is included in Property and equipment and depreciated over its expected useful life, generally two to ten years. </w:t>
      </w:r>
    </w:p>
    <w:p>
      <w:pPr>
        <w:pStyle w:val="TextBody"/>
        <w:bidi w:val="0"/>
        <w:spacing w:before="240" w:after="283"/>
        <w:jc w:val="left"/>
        <w:rPr>
          <w:rFonts w:ascii="Times New Roman" w:hAnsi="Times New Roman"/>
          <w:sz w:val="20"/>
        </w:rPr>
      </w:pPr>
      <w:r>
        <w:rPr>
          <w:rFonts w:ascii="Times New Roman" w:hAnsi="Times New Roman"/>
          <w:i/>
          <w:color w:val="000000"/>
          <w:sz w:val="20"/>
        </w:rPr>
        <w:t>Goodwill and Other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other intangible assets recorded in conjunction with business combinations are based on the Company’s estimate of fair value, as of the date of acquisition.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Amortization of other intangible assets is computed using the straight-line method. The fair value and corresponding useful lives for acquired intangible assets are listed below as follows: </w:t>
      </w:r>
    </w:p>
    <w:tbl>
      <w:tblPr>
        <w:tblW w:w="3718" w:type="dxa"/>
        <w:jc w:val="left"/>
        <w:tblInd w:w="0" w:type="dxa"/>
        <w:tblLayout w:type="fixed"/>
        <w:tblCellMar>
          <w:top w:w="28" w:type="dxa"/>
          <w:left w:w="28" w:type="dxa"/>
          <w:bottom w:w="28" w:type="dxa"/>
          <w:right w:w="28" w:type="dxa"/>
        </w:tblCellMar>
      </w:tblPr>
      <w:tblGrid>
        <w:gridCol w:w="2386"/>
        <w:gridCol w:w="146"/>
        <w:gridCol w:w="118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to 15 years</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12 years</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10 years</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development costs</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to 5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strategy largely centers on designing products based upon internally developed and purchased technology, and we protect certain technology with patents that have value to our business strategy. All costs associated with the development and issuance of new patents are expensed as incurred. Such costs are classified as Net research and development expenses in the accompanying consolidated statements of income. </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Impairments of Other Intangible Assets and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tested for impairment at least annually as of December 31 and whenever events or changes in circumstances indicate that the carrying value may not be recoverable. In conducting our annual impairment assessment testing, we first perform a qualitative assessment of whether it is more likely than not that a reporting unit’s fair value is less than its carrying amount. If not, no further goodwill impairment testing is performed.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an income approach to estimate the fair value of a reporting unit and a market valuation approach to further support this analysis (level 3). The income approach is based on projected debt-free cash flow that is discounted to the present value using discount factors that consider the timing and risk of cash flows. We believe that this approach is appropriate because it provides a fair value estimate based on the reporting unit’s expected long-term operating cash flow performance. This approach also mitigates the impact of cyclical trends that occur in our industry. Fair value is estimated using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to reflect risk, if necessary. Other significant assumptions include terminal value growth rates and terminal value margin rates. While there are inherent uncertainties related to the assumptions used and to management’s application of these assumptions to this analysis, we believe that the income approach provides a reasonable estimate of the fair value of a reporting unit.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its indefinite-lived intangible asset impairment assessment annually as of December 31, and between annual assessments if an event occurs or circumstances change that would more likely than not reduce the fair value of a reporting unit below its carrying amount. See Note 7, "Goodwill and Other Intangibles," for additional information about the goodwill impairment analysis.</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Investments in non-consolidated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2021, the Company’s Automotive segment invested $5,200 for an ownership interest in Carrar Ltd. (“Carrar”), an Israel-based technology developer of advanced thermal management systems for the electric mobility market. In June 2023, the Company made an additional investment in Carrar of $500, totaling $5,700 invested in Carrar as of December 31, 2023. In December 2023, we recorded a non-cash impairment charge of $2,900 in Other (loss) income. The Company determined that Carrar is a VIE; however, the Company does not have a controlling financial interest or have the power to direct the activities that most significantly affect the economic performance of the investment. Therefore, the Company has concluded that it is not the primary beneficiary. Gentherm’s investment in Carrar is measured at cost, less impairments, adjusted for observable price changes in orderly transactions for identical or similar investments of the same issuer, and is recorded in Other non-current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2021, the Company’s Automotive segment invested $2,357 for an ownership interest in Forciot Oy (“Forciot”), a Finland-based technology developer of sensors for touch, motion and force measurement. Gentherm’s investment in Forciot is measured at cost, less impairments, adjusted for observable price changes in orderly transactions for identical or similar investments of the same issuer, and is recorded in Other non-current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committed to make a $5,000 investment in Autotech Fund III, L.P., pursuant to a limited partnership agreement. As a limited partner, the Company will periodically make capital contributions toward this total commitment amount over the expected ten-year life of the fund. The Company has made contributions totaling approximately $810 to the Autotech Fund III, L.P. as of December 31, 2023. This fund focuses broadly on the automotive industry and compliments the Company’s innovation strategy.</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expensed as incurred. Such costs and related reimbursements are classified as Net research and development expenses in the accompanying consolidated statements of income.</w:t>
      </w:r>
    </w:p>
    <w:p>
      <w:pPr>
        <w:pStyle w:val="TextBody"/>
        <w:bidi w:val="0"/>
        <w:spacing w:before="240" w:after="283"/>
        <w:jc w:val="left"/>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office, manufacturing and research and development facilities, as well as land leases for certain manufacturing facilities that are accounted for as operating leases. We also have operating leases for office equipment and automobiles. Excluding land leases, our leases have remaining lease terms ranging from less than 1 year to 8 years and may include options to extend the lease. Land leases have remaining lease terms that range from 2 to 39 years and some which specify that the end of the lease term is at the discretion of the lessee. We do not have lease arrangements with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 contractual arrangement is or contains a lease at inception. Leases that are operating in nature are recognized in Operating lease right-of-use assets, Current lease liabilities and Non-current lease liabilities in the accompanying consolidated balance sheets. Finance leases are included in property and equipment, net, current maturities of long-term debt, and long-term debt on the Company’s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liabilities are measured initially at the present value of the sum of the future minimum rental payments at the commencement date of the lease. Lease payments that will vary in the future due to changes in facts and circumstances are excluded from the calculation of rental payments, unless those variable payments are based on an index or rate. Rental payments are discounted using an incremental borrowing rate, unless there is a rate implicit in the lease agreement. The incremental borrowing rate is based on the Company’s credit rating, determined on a fully collateralized loan basis from information available at commencement date, and the duration of the lease term (the “reference rate”). Judgment is used to assess the importance of risk factor inputs during the computation of the Company’s credit rating. For leases at foreign subsidiaries denominated in U.S. Dollars, a risk premium associated with the borrower subsidiary’s country is added to the reference rate. For significant leases at foreign subsidiaries denominated in a foreign currency, the U.S. Dollar risk free rate with a duration similar to that of the lease term is subtracted from the reference rate and a corresponding foreign currency risk free rate with a duration similar to that of the lease term is added to the reference rate. </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right-of-use assets are measured at the amount of the lease liability, adjusted for prepaid or accrued lease payments, lease incentive received, and initial direct costs incurred, as applicable. Periods covered by an option to extend the lease are initially included in the measurement of an operating lease right-of-use asset and lease liability only when it is reasonably certain we will exercise the option. Gentherm’s lease agreements do not contain residual value guarantees or impose restrictions or covenants on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classes of underlying assets, the Company accounts for leases that contain separate lease and non-lease components as containing a single lease component. The Company does not recognize lease right-of-use assets and lease liabilities from leases with an original lease term of 12 months or less and, instead, recognizes rent payments on a straight-line basis over the lease term in the consolidated statements of income. </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income tax expense using the liability method which specifies that deferred tax assets and liabilities be measured each year based on the difference between the financial statement and tax base of assets and liabilities at the applicable enacted tax rates. A valuation allowance is provided for deferred tax assets when management considers it more likely than not that the asset will not be realized. At December 31, 2023 and 2022, a valuation allowance has been provided for certain deferred tax assets which the Company has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The Company recognizes interest and penalties related to income tax matters in Income tax expense. </w:t>
      </w:r>
    </w:p>
    <w:p>
      <w:pPr>
        <w:pStyle w:val="TextBody"/>
        <w:bidi w:val="0"/>
        <w:spacing w:before="240" w:after="283"/>
        <w:jc w:val="left"/>
        <w:rPr>
          <w:rFonts w:ascii="Times New Roman" w:hAnsi="Times New Roman"/>
          <w:sz w:val="20"/>
        </w:rPr>
      </w:pPr>
      <w:r>
        <w:rPr>
          <w:rFonts w:ascii="Times New Roman" w:hAnsi="Times New Roman"/>
          <w:i/>
          <w:color w:val="000000"/>
          <w:sz w:val="20"/>
        </w:rPr>
        <w:t>Derivative Financial Instruments – Hedge Accounting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derivative instruments are required to be reported on the balance sheet at fair value unless the transactions qualify and are designated as normal purchases or sales. Changes in fair value are reported currently through earnings unless they meet hedge accounting criteria. 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designated derivative financial instruments as cash flow hedges. For derivative contracts which are designated as a cash flow hedge, the effective portion of the change in the fair value of the derivative contract is recorded to Accumulated other comprehensive loss (“AOCI”) in the accompanying consolidated balance sheets. When the underlying hedge transaction is realized, the gain or loss included in AOCI is recorded into earnings in the accompanying consolidated statements of income on the same line as the gain or loss on the hedged item attributable to the hedged risk. Any ineffective portion of the gain or loss is recognized in the accompanying consolidated statements of income under Cost of goods sold for foreign currency derivatives and commodity derivatives. These hedging transactions and the respective correlations meet the requirements for hedge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fluctuations in interest rates and certain commodity prices are managed by entering into swaps with various counterparties. The Company does not enter into derivative transactions for speculative or trading purposes. As part of the hedging program approval process, Gentherm identifies the specific financial risk which the derivative transaction will minimize, the appropriate hedging instrument to be used to reduce the risk and the correlation between the financial risk and the hedging instrument. Hedge positions, as well as the correlation between the transaction risks and the hedging instruments, are reviewed on an ongoing basis.</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by the weighted average number of shares of the Company's common stock, no par value ("Common Stock") outstanding during the respective period. The Company’s diluted earnings per share give effect to all potential shares of Common Stock outstanding during a period that do not have an anti-dilutive impact to the calculation. In computing the number of diluted shares outstanding, the treasury stock method is used in order to arrive at a net number of shares created upon the conversion of Common Stock equivalents. </w:t>
      </w:r>
    </w:p>
    <w:p>
      <w:pPr>
        <w:pStyle w:val="TextBody"/>
        <w:bidi w:val="0"/>
        <w:spacing w:before="240" w:after="283"/>
        <w:jc w:val="left"/>
        <w:rPr>
          <w:rFonts w:ascii="Times New Roman" w:hAnsi="Times New Roman"/>
          <w:sz w:val="20"/>
        </w:rPr>
      </w:pPr>
      <w:r>
        <w:rPr>
          <w:rFonts w:ascii="Times New Roman" w:hAnsi="Times New Roman"/>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based payments that involve the issuance of Common Stock to employees, including grants of employee stock options, restricted stock, and time-based and performance-based restricted stock units, are recognized in the consolidated financial statements as compensation expense based upon the fair value on the date of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based payments that are satisfied only by the payment of cash, such as stock appreciation rights, are accounted for as liabilities. The liability is reported at market value of the vested portion of the underlying units. During each period, the change in the liability is recorded as compensation expense. </w:t>
      </w:r>
    </w:p>
    <w:p>
      <w:pPr>
        <w:pStyle w:val="TextBody"/>
        <w:bidi w:val="0"/>
        <w:spacing w:before="360" w:after="283"/>
        <w:jc w:val="left"/>
        <w:rPr>
          <w:rFonts w:ascii="Times New Roman" w:hAnsi="Times New Roman"/>
          <w:sz w:val="20"/>
        </w:rPr>
      </w:pPr>
      <w:r>
        <w:rPr>
          <w:rFonts w:ascii="Times New Roman" w:hAnsi="Times New Roman"/>
          <w:b/>
          <w:color w:val="000000"/>
          <w:sz w:val="20"/>
        </w:rPr>
        <w:t>Note 3 — New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("ASUs") issued by the Financial Accounting Standards Board. ASUs effective in 2023 were assessed and determined to be either not applicable or are not expected to have a significant impact on the Company's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ASU 2023-07 requires a public entity to disclose, on an annual and interim basis, significant segment expenses that are included within each reported measure of segment profit or loss and regularly reviewed by the chief operating decision maker ("CODM"), the title and position of the CODM, clarification regarding the CODM's use of multiple measures of a segment's profit or loss in assessing segment performance (this must include a measure that is consistent with the measurement principles under GAAP, but may also include additional measures of a segment's profit or loss), and a description of the composition of amounts within an "Other" segment line item. Further, ASU 2023-07 requires that all annual disclosures about a reportable segment's profit or loss and assets currently required by Topic 280 to be provided in interim periods. This update is effective for fiscals years beginning after December 15, 2023, and interim periods within fiscal years beginning after December 15, 2024. ASU 2023-07 should be adopted retrospectively to all periods presented in the financial statements and early adoption is permitted. We are currently in the process of determining the impact the implementation of ASU 2023-07 will have on the Company’s financial statement disclosures.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enhances income tax disclosures to further disaggregate the effective tax rate reconciliation and income taxes paid. This update is effective for fiscal years beginning after December 15, 2024. ASU 2023-09 should be adopted prospectively, but retrospective application is permitted. Further, early adoption is permitted. We are currently in the process of determining the impact the implementation of ASU 2023-09 will have on the Company’s financial statement disclosures.</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 –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Alfmeier Präzision 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 2022, the Company acquired 100% of the equity interests of Alfmeier Präzision SE (“Alfmeier”), a global leader in automotive lumbar and massage comfort solutions and a leading provider of advanced valve systems technology, integrated electronics and software. The acquisition further expanded the Company's current value proposition beyond thermal to comfort, health, wellness, and energy efficiency and aligned with global consumer demand for expanded offerings in vehicle passenger comfort.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consideration transferred was $170,700. The results of Alfmeier's operations are reported within the Automotive segment from the acquisition date.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product revenues and operating income from Alfmeier that are included in our consolidated financial statements for the year ended December 31, 2022, following the August 1, 2022 acquisition date:</w:t>
      </w:r>
    </w:p>
    <w:tbl>
      <w:tblPr>
        <w:tblW w:w="3988" w:type="dxa"/>
        <w:jc w:val="left"/>
        <w:tblInd w:w="0" w:type="dxa"/>
        <w:tblLayout w:type="fixed"/>
        <w:tblCellMar>
          <w:top w:w="28" w:type="dxa"/>
          <w:left w:w="28" w:type="dxa"/>
          <w:bottom w:w="28" w:type="dxa"/>
          <w:right w:w="28" w:type="dxa"/>
        </w:tblCellMar>
      </w:tblPr>
      <w:tblGrid>
        <w:gridCol w:w="1516"/>
        <w:gridCol w:w="146"/>
        <w:gridCol w:w="503"/>
        <w:gridCol w:w="1612"/>
        <w:gridCol w:w="21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98,960</w:t>
            </w:r>
          </w:p>
        </w:tc>
        <w:tc>
          <w:tcPr>
            <w:tcW w:w="21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1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acquisition was accounted for as a business combination. The following table summarizes the final purchase consideration and estimated fair values of assets acquired and liabilities assumed as of the acquisition date:</w:t>
      </w:r>
    </w:p>
    <w:tbl>
      <w:tblPr>
        <w:tblW w:w="10205" w:type="dxa"/>
        <w:jc w:val="left"/>
        <w:tblInd w:w="0" w:type="dxa"/>
        <w:tblLayout w:type="fixed"/>
        <w:tblCellMar>
          <w:top w:w="28" w:type="dxa"/>
          <w:left w:w="28" w:type="dxa"/>
          <w:bottom w:w="28" w:type="dxa"/>
          <w:right w:w="28" w:type="dxa"/>
        </w:tblCellMar>
      </w:tblPr>
      <w:tblGrid>
        <w:gridCol w:w="3884"/>
        <w:gridCol w:w="146"/>
        <w:gridCol w:w="291"/>
        <w:gridCol w:w="1079"/>
        <w:gridCol w:w="166"/>
        <w:gridCol w:w="146"/>
        <w:gridCol w:w="624"/>
        <w:gridCol w:w="1874"/>
        <w:gridCol w:w="166"/>
        <w:gridCol w:w="146"/>
        <w:gridCol w:w="269"/>
        <w:gridCol w:w="999"/>
        <w:gridCol w:w="415"/>
      </w:tblGrid>
      <w:tr>
        <w:trPr/>
        <w:tc>
          <w:tcPr>
            <w:tcW w:w="3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8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Initial Allocation </w:t>
              <w:br/>
              <w:t xml:space="preserve">as of </w:t>
              <w:br/>
              <w:t>August 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Final Allocation</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8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price, consideration, net of cash acquired</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170,700</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3884"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8"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24,867</w:t>
            </w:r>
          </w:p>
        </w:tc>
        <w:tc>
          <w:tcPr>
            <w:tcW w:w="415" w:type="dxa"/>
            <w:tcBorders/>
            <w:shd w:fill="CFF0FC" w:val="clear"/>
            <w:vAlign w:val="center"/>
          </w:tcPr>
          <w:p>
            <w:pPr>
              <w:pStyle w:val="TableContents"/>
              <w:bidi w:val="0"/>
              <w:spacing w:before="0" w:after="283"/>
              <w:jc w:val="lef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36,443</w:t>
            </w:r>
          </w:p>
        </w:tc>
        <w:tc>
          <w:tcPr>
            <w:tcW w:w="415" w:type="dxa"/>
            <w:tcBorders/>
            <w:shd w:fill="FFFFFF" w:val="clear"/>
            <w:vAlign w:val="center"/>
          </w:tcPr>
          <w:p>
            <w:pPr>
              <w:pStyle w:val="TableContents"/>
              <w:bidi w:val="0"/>
              <w:spacing w:before="0" w:after="283"/>
              <w:jc w:val="left"/>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w:t>
            </w:r>
          </w:p>
        </w:tc>
        <w:tc>
          <w:tcPr>
            <w:tcW w:w="415" w:type="dxa"/>
            <w:tcBorders/>
            <w:shd w:fill="CFF0FC" w:val="clear"/>
            <w:vAlign w:val="center"/>
          </w:tcPr>
          <w:p>
            <w:pPr>
              <w:pStyle w:val="TableContents"/>
              <w:bidi w:val="0"/>
              <w:spacing w:before="0" w:after="283"/>
              <w:jc w:val="lef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415" w:type="dxa"/>
            <w:tcBorders/>
            <w:shd w:fill="FFFFFF" w:val="clear"/>
            <w:vAlign w:val="center"/>
          </w:tcPr>
          <w:p>
            <w:pPr>
              <w:pStyle w:val="TableContents"/>
              <w:bidi w:val="0"/>
              <w:spacing w:before="0" w:after="283"/>
              <w:jc w:val="left"/>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91,184</w:t>
            </w:r>
          </w:p>
        </w:tc>
        <w:tc>
          <w:tcPr>
            <w:tcW w:w="415" w:type="dxa"/>
            <w:tcBorders/>
            <w:shd w:fill="CFF0FC" w:val="clear"/>
            <w:vAlign w:val="center"/>
          </w:tcPr>
          <w:p>
            <w:pPr>
              <w:pStyle w:val="TableContents"/>
              <w:bidi w:val="0"/>
              <w:spacing w:before="0" w:after="283"/>
              <w:jc w:val="lef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31,459</w:t>
            </w:r>
          </w:p>
        </w:tc>
        <w:tc>
          <w:tcPr>
            <w:tcW w:w="415" w:type="dxa"/>
            <w:tcBorders/>
            <w:shd w:fill="FFFFFF" w:val="clear"/>
            <w:vAlign w:val="center"/>
          </w:tcPr>
          <w:p>
            <w:pPr>
              <w:pStyle w:val="TableContents"/>
              <w:bidi w:val="0"/>
              <w:spacing w:before="0" w:after="283"/>
              <w:jc w:val="left"/>
              <w:rPr/>
            </w:pPr>
            <w:r>
              <w:rPr/>
              <w:t> </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33,971</w:t>
            </w:r>
          </w:p>
        </w:tc>
        <w:tc>
          <w:tcPr>
            <w:tcW w:w="415" w:type="dxa"/>
            <w:tcBorders/>
            <w:shd w:fill="CFF0FC" w:val="clear"/>
            <w:vAlign w:val="center"/>
          </w:tcPr>
          <w:p>
            <w:pPr>
              <w:pStyle w:val="TableContents"/>
              <w:bidi w:val="0"/>
              <w:spacing w:before="0" w:after="283"/>
              <w:jc w:val="left"/>
              <w:rPr/>
            </w:pPr>
            <w:r>
              <w:rPr/>
              <w:t> </w:t>
            </w:r>
          </w:p>
        </w:tc>
      </w:tr>
      <w:tr>
        <w:trPr/>
        <w:tc>
          <w:tcPr>
            <w:tcW w:w="38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liabilities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(55,019</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170,700</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allocation of the purchase consideration to the other intangible assets acquired:</w:t>
      </w:r>
    </w:p>
    <w:tbl>
      <w:tblPr>
        <w:tblW w:w="7015" w:type="dxa"/>
        <w:jc w:val="left"/>
        <w:tblInd w:w="0" w:type="dxa"/>
        <w:tblLayout w:type="fixed"/>
        <w:tblCellMar>
          <w:top w:w="28" w:type="dxa"/>
          <w:left w:w="28" w:type="dxa"/>
          <w:bottom w:w="28" w:type="dxa"/>
          <w:right w:w="28" w:type="dxa"/>
        </w:tblCellMar>
      </w:tblPr>
      <w:tblGrid>
        <w:gridCol w:w="1701"/>
        <w:gridCol w:w="146"/>
        <w:gridCol w:w="442"/>
        <w:gridCol w:w="1418"/>
        <w:gridCol w:w="146"/>
        <w:gridCol w:w="146"/>
        <w:gridCol w:w="827"/>
        <w:gridCol w:w="1798"/>
        <w:gridCol w:w="391"/>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Preliminary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Life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vAlign w:val="center"/>
          </w:tcPr>
          <w:p>
            <w:pPr>
              <w:pStyle w:val="TableContents"/>
              <w:bidi w:val="0"/>
              <w:spacing w:before="0" w:after="283"/>
              <w:jc w:val="left"/>
              <w:rPr/>
            </w:pPr>
            <w:r>
              <w:rPr/>
              <w:t> </w:t>
            </w:r>
          </w:p>
        </w:tc>
        <w:tc>
          <w:tcPr>
            <w:tcW w:w="18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related</w:t>
            </w:r>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1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left"/>
              <w:rPr/>
            </w:pPr>
            <w:r>
              <w:rPr/>
              <w:t> </w:t>
            </w:r>
          </w:p>
        </w:tc>
        <w:tc>
          <w:tcPr>
            <w:tcW w:w="1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CFF0FC" w:val="clear"/>
            <w:vAlign w:val="center"/>
          </w:tcPr>
          <w:p>
            <w:pPr>
              <w:pStyle w:val="TableContents"/>
              <w:bidi w:val="0"/>
              <w:spacing w:before="0" w:after="283"/>
              <w:jc w:val="left"/>
              <w:rPr/>
            </w:pPr>
            <w:r>
              <w:rPr/>
              <w:t> </w:t>
            </w:r>
          </w:p>
        </w:tc>
      </w:tr>
      <w:tr>
        <w:trPr/>
        <w:tc>
          <w:tcPr>
            <w:tcW w:w="1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acquired and liabilities assumed were recorded at estimated fair values based on third-party valuations, management’s estimates, available information, and supportable assumptions that management considered reasonable.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intangible assets was based on third-party valuations and management’s estimates, generally utilizing income and market approaches. Goodwill recognized in this transaction is primarily attributable to the Company’s expected future </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benefits from combining operations to offer more compelling and high-value solutions across complementary customer relationships as well as expected future synergies. The goodwill is not expected to be deductible for tax purposes.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unaudited pro forma information represents our product revenues and net income as if the acquisition of Alfmeier had occurred as of January 1, 2021:</w:t>
      </w:r>
    </w:p>
    <w:tbl>
      <w:tblPr>
        <w:tblW w:w="4429" w:type="dxa"/>
        <w:jc w:val="left"/>
        <w:tblInd w:w="0" w:type="dxa"/>
        <w:tblLayout w:type="fixed"/>
        <w:tblCellMar>
          <w:top w:w="28" w:type="dxa"/>
          <w:left w:w="28" w:type="dxa"/>
          <w:bottom w:w="28" w:type="dxa"/>
          <w:right w:w="28" w:type="dxa"/>
        </w:tblCellMar>
      </w:tblPr>
      <w:tblGrid>
        <w:gridCol w:w="1516"/>
        <w:gridCol w:w="146"/>
        <w:gridCol w:w="211"/>
        <w:gridCol w:w="931"/>
        <w:gridCol w:w="146"/>
        <w:gridCol w:w="146"/>
        <w:gridCol w:w="211"/>
        <w:gridCol w:w="93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1,304,505</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Jiangmen Dacheng Medical Equipment Co. Ltd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13, 2022, the Company acquired 100% of the equity interests of Jiangmen Dacheng Medical Equipment Co. Ltd (“Dacheng”) and its wholly owned subsidiary, IOB Medical, Inc. Dacheng, is a manufacturer of medical materials and medical equipment, including patient temperature management solutions, for numerous local and international customers. The acquisition provided Gentherm Medical a local presence in China’s high-growth market for patient warming devices and other medical device products, and expanded overall manufacturing capacity to include a low-cost manufacturing 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consideration was $35,048. The purchase agreement also included potential cash payments contingent upon the achievement of certain performance metrics and continued employment of the former majority shareholder through a series of defined dates. The achievement of these performance metrics resulted in cash payments of $500. These cash payments were accounted for as compensation expense and recorded as a component of Selling, general and administrative expenses ratably over the service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results of Dacheng's operations are reported within the Medical segment from the acquisition date.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product revenues and operating income from Dacheng that are included in our consolidated financial statements for the year ended December 31, 2022, following the July13, 2022 acquisition date:</w:t>
      </w:r>
    </w:p>
    <w:tbl>
      <w:tblPr>
        <w:tblW w:w="3988" w:type="dxa"/>
        <w:jc w:val="left"/>
        <w:tblInd w:w="0" w:type="dxa"/>
        <w:tblLayout w:type="fixed"/>
        <w:tblCellMar>
          <w:top w:w="28" w:type="dxa"/>
          <w:left w:w="28" w:type="dxa"/>
          <w:bottom w:w="28" w:type="dxa"/>
          <w:right w:w="28" w:type="dxa"/>
        </w:tblCellMar>
      </w:tblPr>
      <w:tblGrid>
        <w:gridCol w:w="1516"/>
        <w:gridCol w:w="146"/>
        <w:gridCol w:w="570"/>
        <w:gridCol w:w="1545"/>
        <w:gridCol w:w="21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21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acquisition was accounted for as a business combination. The following table summarizes the final purchase consideration and estimated fair values of assets acquired and liabilities assumed as of the acquisition date:</w:t>
      </w:r>
    </w:p>
    <w:tbl>
      <w:tblPr>
        <w:tblW w:w="10205" w:type="dxa"/>
        <w:jc w:val="left"/>
        <w:tblInd w:w="0" w:type="dxa"/>
        <w:tblLayout w:type="fixed"/>
        <w:tblCellMar>
          <w:top w:w="28" w:type="dxa"/>
          <w:left w:w="28" w:type="dxa"/>
          <w:bottom w:w="28" w:type="dxa"/>
          <w:right w:w="28" w:type="dxa"/>
        </w:tblCellMar>
      </w:tblPr>
      <w:tblGrid>
        <w:gridCol w:w="3993"/>
        <w:gridCol w:w="146"/>
        <w:gridCol w:w="317"/>
        <w:gridCol w:w="1020"/>
        <w:gridCol w:w="166"/>
        <w:gridCol w:w="146"/>
        <w:gridCol w:w="612"/>
        <w:gridCol w:w="1839"/>
        <w:gridCol w:w="166"/>
        <w:gridCol w:w="146"/>
        <w:gridCol w:w="295"/>
        <w:gridCol w:w="945"/>
        <w:gridCol w:w="414"/>
      </w:tblGrid>
      <w:tr>
        <w:trPr/>
        <w:tc>
          <w:tcPr>
            <w:tcW w:w="3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9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Initial Allocation </w:t>
              <w:br/>
              <w:t xml:space="preserve">as of </w:t>
              <w:br/>
              <w:t>July 13,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Final Allocation</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 cash consideration, net of cash acquired</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pPr>
            <w:r>
              <w:rPr/>
              <w:t> </w:t>
            </w:r>
          </w:p>
        </w:tc>
        <w:tc>
          <w:tcPr>
            <w:tcW w:w="1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414" w:type="dxa"/>
            <w:tcBorders/>
            <w:shd w:fill="CFF0FC" w:val="cle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414" w:type="dxa"/>
            <w:tcBorders/>
            <w:shd w:fill="FFFFFF" w:val="clear"/>
            <w:vAlign w:val="center"/>
          </w:tcPr>
          <w:p>
            <w:pPr>
              <w:pStyle w:val="TableContents"/>
              <w:bidi w:val="0"/>
              <w:spacing w:before="0" w:after="283"/>
              <w:jc w:val="left"/>
              <w:rPr/>
            </w:pPr>
            <w:r>
              <w:rPr/>
              <w:t> </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pPr>
            <w:r>
              <w:rPr/>
              <w:t> </w:t>
            </w:r>
          </w:p>
        </w:tc>
        <w:tc>
          <w:tcPr>
            <w:tcW w:w="1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4" w:type="dxa"/>
            <w:tcBorders/>
            <w:shd w:fill="CFF0FC" w:val="cle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414" w:type="dxa"/>
            <w:tcBorders/>
            <w:shd w:fill="FFFFFF" w:val="clear"/>
            <w:vAlign w:val="center"/>
          </w:tcPr>
          <w:p>
            <w:pPr>
              <w:pStyle w:val="TableContents"/>
              <w:bidi w:val="0"/>
              <w:spacing w:before="0" w:after="283"/>
              <w:jc w:val="left"/>
              <w:rPr/>
            </w:pPr>
            <w:r>
              <w:rPr/>
              <w:t> </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pPr>
            <w:r>
              <w:rPr/>
              <w:t> </w:t>
            </w:r>
          </w:p>
        </w:tc>
        <w:tc>
          <w:tcPr>
            <w:tcW w:w="18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414" w:type="dxa"/>
            <w:tcBorders/>
            <w:shd w:fill="CFF0FC" w:val="cle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20,059</w:t>
            </w:r>
          </w:p>
        </w:tc>
        <w:tc>
          <w:tcPr>
            <w:tcW w:w="414" w:type="dxa"/>
            <w:tcBorders/>
            <w:shd w:fill="FFFFFF" w:val="clear"/>
            <w:vAlign w:val="center"/>
          </w:tcPr>
          <w:p>
            <w:pPr>
              <w:pStyle w:val="TableContents"/>
              <w:bidi w:val="0"/>
              <w:spacing w:before="0" w:after="283"/>
              <w:jc w:val="left"/>
              <w:rPr/>
            </w:pPr>
            <w:r>
              <w:rPr/>
              <w:t> </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pPr>
            <w:r>
              <w:rPr/>
              <w:t> </w:t>
            </w:r>
          </w:p>
        </w:tc>
        <w:tc>
          <w:tcPr>
            <w:tcW w:w="18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414" w:type="dxa"/>
            <w:tcBorders/>
            <w:shd w:fill="CFF0FC" w:val="cle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liabilities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the allocation of the purchase consideration to the other intangible assets acquired:</w:t>
      </w:r>
    </w:p>
    <w:tbl>
      <w:tblPr>
        <w:tblW w:w="7019" w:type="dxa"/>
        <w:jc w:val="left"/>
        <w:tblInd w:w="0" w:type="dxa"/>
        <w:tblLayout w:type="fixed"/>
        <w:tblCellMar>
          <w:top w:w="28" w:type="dxa"/>
          <w:left w:w="28" w:type="dxa"/>
          <w:bottom w:w="28" w:type="dxa"/>
          <w:right w:w="28" w:type="dxa"/>
        </w:tblCellMar>
      </w:tblPr>
      <w:tblGrid>
        <w:gridCol w:w="1703"/>
        <w:gridCol w:w="146"/>
        <w:gridCol w:w="442"/>
        <w:gridCol w:w="1418"/>
        <w:gridCol w:w="146"/>
        <w:gridCol w:w="146"/>
        <w:gridCol w:w="777"/>
        <w:gridCol w:w="1848"/>
        <w:gridCol w:w="393"/>
      </w:tblGrid>
      <w:tr>
        <w:trPr/>
        <w:tc>
          <w:tcPr>
            <w:tcW w:w="1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7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Preliminary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Life (in years)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vAlign w:val="center"/>
          </w:tcPr>
          <w:p>
            <w:pPr>
              <w:pStyle w:val="TableContents"/>
              <w:bidi w:val="0"/>
              <w:spacing w:before="0" w:after="283"/>
              <w:jc w:val="left"/>
              <w:rPr/>
            </w:pPr>
            <w:r>
              <w:rPr/>
              <w:t> </w:t>
            </w:r>
          </w:p>
        </w:tc>
        <w:tc>
          <w:tcPr>
            <w:tcW w:w="18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5"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2"/>
              <w:jc w:val="right"/>
              <w:rPr/>
            </w:pPr>
            <w:r>
              <w:rPr/>
              <w:t> </w:t>
            </w:r>
          </w:p>
        </w:tc>
      </w:tr>
      <w:tr>
        <w:trPr/>
        <w:tc>
          <w:tcPr>
            <w:tcW w:w="1703" w:type="dxa"/>
            <w:tcBorders/>
            <w:shd w:fill="FFFFFF" w:val="clear"/>
            <w:vAlign w:val="center"/>
          </w:tcPr>
          <w:p>
            <w:pPr>
              <w:pStyle w:val="TableContents"/>
              <w:bidi w:val="0"/>
              <w:spacing w:before="0" w:after="283"/>
              <w:ind w:left="202" w:right="0" w:firstLine="202"/>
              <w:jc w:val="left"/>
              <w:rPr>
                <w:rFonts w:ascii="Times New Roman" w:hAnsi="Times New Roman"/>
                <w:color w:val="000000"/>
                <w:sz w:val="20"/>
              </w:rPr>
            </w:pPr>
            <w:r>
              <w:rPr>
                <w:rFonts w:ascii="Times New Roman" w:hAnsi="Times New Roman"/>
                <w:color w:val="000000"/>
                <w:sz w:val="20"/>
              </w:rPr>
              <w:t>Customer related</w:t>
            </w:r>
          </w:p>
        </w:tc>
        <w:tc>
          <w:tcPr>
            <w:tcW w:w="146"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7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left"/>
              <w:rPr/>
            </w:pPr>
            <w:r>
              <w:rPr/>
              <w:t> </w:t>
            </w:r>
          </w:p>
        </w:tc>
        <w:tc>
          <w:tcPr>
            <w:tcW w:w="14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left"/>
              <w:rPr/>
            </w:pPr>
            <w:r>
              <w:rPr/>
              <w:t> </w:t>
            </w:r>
          </w:p>
        </w:tc>
        <w:tc>
          <w:tcPr>
            <w:tcW w:w="1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3" w:type="dxa"/>
            <w:tcBorders/>
            <w:shd w:fill="CFF0FC" w:val="clear"/>
            <w:vAlign w:val="center"/>
          </w:tcPr>
          <w:p>
            <w:pPr>
              <w:pStyle w:val="TableContents"/>
              <w:bidi w:val="0"/>
              <w:spacing w:before="0" w:after="283"/>
              <w:jc w:val="left"/>
              <w:rPr/>
            </w:pPr>
            <w:r>
              <w:rPr/>
              <w:t> </w:t>
            </w:r>
          </w:p>
        </w:tc>
      </w:tr>
      <w:tr>
        <w:trPr/>
        <w:tc>
          <w:tcPr>
            <w:tcW w:w="17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vAlign w:val="center"/>
          </w:tcPr>
          <w:p>
            <w:pPr>
              <w:pStyle w:val="TableContents"/>
              <w:bidi w:val="0"/>
              <w:spacing w:before="0" w:after="283"/>
              <w:jc w:val="left"/>
              <w:rPr/>
            </w:pPr>
            <w:r>
              <w:rPr/>
              <w:t> </w:t>
            </w:r>
          </w:p>
        </w:tc>
        <w:tc>
          <w:tcPr>
            <w:tcW w:w="18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5"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7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left"/>
              <w:rPr/>
            </w:pPr>
            <w:r>
              <w:rPr/>
              <w:t> </w:t>
            </w:r>
          </w:p>
        </w:tc>
        <w:tc>
          <w:tcPr>
            <w:tcW w:w="1848"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jc w:val="left"/>
              <w:rPr/>
            </w:pPr>
            <w:r>
              <w:rPr/>
              <w:t> </w:t>
            </w:r>
          </w:p>
        </w:tc>
      </w:tr>
      <w:tr>
        <w:trPr/>
        <w:tc>
          <w:tcPr>
            <w:tcW w:w="17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5"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acquired and liabilities assumed were recorded at estimated fair values based on third-party valuations, management’s estimates, available information, and supportable assumptions that management considered reasonable.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intangible assets was based on third-party valuations and management’s estimates, generally utilizing income and market approaches. Goodwill recognized in this transaction is primarily attributable to the Company’s expected future economic benefits from the enhanced access to high-growth markets including private label opportunities through Dacheng’s innovative patient temperature management devices. The goodwill is not expected to be deductible for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 forma effects of this acquisition would not materially impact the Company’s reported results for any period presented, and as a result no pro forma financial statements are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5 </w:t>
      </w:r>
      <w:r>
        <w:rPr>
          <w:rFonts w:ascii="Times New Roman" w:hAnsi="Times New Roman"/>
          <w:color w:val="000000"/>
          <w:sz w:val="20"/>
        </w:rPr>
        <w:t xml:space="preserve">— </w:t>
      </w:r>
      <w:r>
        <w:rPr>
          <w:rFonts w:ascii="Times New Roman" w:hAnsi="Times New Roman"/>
          <w:b/>
          <w:color w:val="000000"/>
          <w:sz w:val="20"/>
        </w:rPr>
        <w:t>Restructuring and Impairments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continuously monitors market developments, industry trends and changing customer needs and in response, may undertake restructuring actions, as necessary, to execute management’s strategy, streamline operations and optimize the Company’s cost structure. Restructuring actions may include the realignment of existing manufacturing footprint, facility closures, or similar actions, either in the normal course of business or pursuant to significant restructuring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may result in employees receiving voluntary or involuntary employee termination benefits, which are mainly statutory requirements or other contractual agreements. Voluntary termination benefits are accrued when an employee accepts the related offer. Involuntary termination benefits are accrued upon the commitment to a termination plan and when the benefit arrangement is communicated to affected employees, or when liabilities are determined to be probable and estimable, depending on the existence of a substantive plan for severance or termination.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Manufacturing Footprint Rationalization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19, 2023, the Company committed to a restructuring plan (“2023 Plan”) to improve the Company’s manufacturing productivity and rationalize its footprint. Under this 2023 Plan, the Company will relocate certain existing manufacturing and related activities in its Greenville, South Carolina facility to a new facility in Monterrey, Mexico.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total costs of between $12,000 and $16,000, of which between $11,000 and $15,000 are expected to be cash expenditures. The total expected costs include employee severance, retention and termination costs of between $2,000 and $4,000, capital expenditures of between $7,000 and $8,000 and non-cash expenses for accelerated depreciation and impairment of fixed assets of approximately $1,000. The Company also expects to incur other transition costs including recruiting, relocation, and machinery and equipment move and set up costs of between $2,000 and $3,000. The actions under this 2023 Plan are expected to be substantially completed by the end of 2025. The actual timing, costs and savings of the 2023 Plan may differ materially from the Company’s current expectations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 recognized restructuring expense of $538 for employee separation costs and $159 for other costs.</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Restructuring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undertaken several discrete restructuring actions. During the years ended December 31, 2023, 2022 and 2021, the Company recognized $3,208, $56 and $2,192 of employee separation costs, respectively, and $834, $581 and $1,665 of other related costs, respectively. These restructuring expenses were primarily associated with restructuring actions focused on the rotation of our manufacturing footprint to best cost locations and the reduction of global overhead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Expenses By Reporting Segment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Restructuring expense by reporting segment for the years ended December 31, 2023, 2022 and 2021 was as follows:</w:t>
      </w:r>
    </w:p>
    <w:tbl>
      <w:tblPr>
        <w:tblW w:w="4413" w:type="dxa"/>
        <w:jc w:val="left"/>
        <w:tblInd w:w="0" w:type="dxa"/>
        <w:tblLayout w:type="fixed"/>
        <w:tblCellMar>
          <w:top w:w="28" w:type="dxa"/>
          <w:left w:w="28" w:type="dxa"/>
          <w:bottom w:w="28" w:type="dxa"/>
          <w:right w:w="28" w:type="dxa"/>
        </w:tblCellMar>
      </w:tblPr>
      <w:tblGrid>
        <w:gridCol w:w="1096"/>
        <w:gridCol w:w="146"/>
        <w:gridCol w:w="211"/>
        <w:gridCol w:w="571"/>
        <w:gridCol w:w="146"/>
        <w:gridCol w:w="146"/>
        <w:gridCol w:w="211"/>
        <w:gridCol w:w="421"/>
        <w:gridCol w:w="146"/>
        <w:gridCol w:w="146"/>
        <w:gridCol w:w="211"/>
        <w:gridCol w:w="571"/>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39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restructuring activity for all restructuring initiatives for the years ended December 31, 2023 and 2022:</w:t>
      </w:r>
    </w:p>
    <w:tbl>
      <w:tblPr>
        <w:tblW w:w="9844" w:type="dxa"/>
        <w:jc w:val="left"/>
        <w:tblInd w:w="0" w:type="dxa"/>
        <w:tblLayout w:type="fixed"/>
        <w:tblCellMar>
          <w:top w:w="28" w:type="dxa"/>
          <w:left w:w="28" w:type="dxa"/>
          <w:bottom w:w="28" w:type="dxa"/>
          <w:right w:w="28" w:type="dxa"/>
        </w:tblCellMar>
      </w:tblPr>
      <w:tblGrid>
        <w:gridCol w:w="3936"/>
        <w:gridCol w:w="146"/>
        <w:gridCol w:w="556"/>
        <w:gridCol w:w="1664"/>
        <w:gridCol w:w="166"/>
        <w:gridCol w:w="146"/>
        <w:gridCol w:w="507"/>
        <w:gridCol w:w="1158"/>
        <w:gridCol w:w="166"/>
        <w:gridCol w:w="146"/>
        <w:gridCol w:w="211"/>
        <w:gridCol w:w="631"/>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Employee Separation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Related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charged to restructuring expenses</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left"/>
              <w:rPr/>
            </w:pPr>
            <w:r>
              <w:rPr/>
              <w:t> </w:t>
            </w:r>
          </w:p>
        </w:tc>
        <w:tc>
          <w:tcPr>
            <w:tcW w:w="1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translation and other</w:t>
            </w:r>
          </w:p>
        </w:tc>
        <w:tc>
          <w:tcPr>
            <w:tcW w:w="146" w:type="dxa"/>
            <w:tcBorders/>
            <w:shd w:fill="CFF0FC" w:val="cle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charged to restructuring expenses</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left"/>
              <w:rPr/>
            </w:pPr>
            <w:r>
              <w:rPr/>
              <w:t> </w:t>
            </w:r>
          </w:p>
        </w:tc>
        <w:tc>
          <w:tcPr>
            <w:tcW w:w="1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left"/>
              <w:rPr/>
            </w:pPr>
            <w:r>
              <w:rPr/>
              <w:t> </w:t>
            </w:r>
          </w:p>
        </w:tc>
        <w:tc>
          <w:tcPr>
            <w:tcW w:w="1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utilization</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translation and other</w:t>
            </w:r>
          </w:p>
        </w:tc>
        <w:tc>
          <w:tcPr>
            <w:tcW w:w="146" w:type="dxa"/>
            <w:tcBorders/>
            <w:shd w:fill="CFF0FC" w:val="cle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Impairments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Non-Automotive Electronics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2022, the Company approved a plan to exit its non-automotive electronics business to strengthen the Company’s core business and focus its resources and equipment with businesses and investments that are more strategic and profitable. As of December 31, 2023, the Company has substantially completed the exit of this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 recorded non-cash impairment charges of $6,064 for the write down of inventory within the Automotive segment. This charge is recorded in Cost of sales in the accompanying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2022, the Company recorded non-cash impairment charges of $9,378, $5,601 and $690 for write downs of inventory, intangible assets and property and equipment, respectively, within the Automotive segment. Write downs of inventory are recorded in Cost of sales and write downs of intangible assets and property and equipment are recorded in Impairment of intangible assets and property and equipment in the accompanying consolidated statements of income.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Medical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2023, the Company determined that there were impairment indicators for its Medical reporting unit and conducted an impairment analysis, following which the Company concluded that $19,509 of goodwill was impaired. Such non-cash impairment charge was recorded in Impairment of goodwill in the accompanying consolidated statements of income. See Note 7, "Goodwill and Other Intangibles," for additional information about the goodwill impairment.</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Note 6 — Details of Certain Financial Statement Components</w:t>
      </w:r>
    </w:p>
    <w:tbl>
      <w:tblPr>
        <w:tblW w:w="6974" w:type="dxa"/>
        <w:jc w:val="left"/>
        <w:tblInd w:w="0" w:type="dxa"/>
        <w:tblLayout w:type="fixed"/>
        <w:tblCellMar>
          <w:top w:w="28" w:type="dxa"/>
          <w:left w:w="28" w:type="dxa"/>
          <w:bottom w:w="28" w:type="dxa"/>
          <w:right w:w="28" w:type="dxa"/>
        </w:tblCellMar>
      </w:tblPr>
      <w:tblGrid>
        <w:gridCol w:w="3801"/>
        <w:gridCol w:w="146"/>
        <w:gridCol w:w="211"/>
        <w:gridCol w:w="841"/>
        <w:gridCol w:w="166"/>
        <w:gridCol w:w="146"/>
        <w:gridCol w:w="211"/>
        <w:gridCol w:w="841"/>
        <w:gridCol w:w="61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Billable tooling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and other tax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derivative financial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Receivables due from factor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Information technology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Production tooling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employee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Liabilities from discounts and rebates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and other taxes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 Goodwill and Other Intangibles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Changes in the carrying amount of goodwill, by reportable segment, for the years ended December 31, 2023 and 2022 were as follows: </w:t>
      </w:r>
    </w:p>
    <w:tbl>
      <w:tblPr>
        <w:tblW w:w="6927" w:type="dxa"/>
        <w:jc w:val="left"/>
        <w:tblInd w:w="0" w:type="dxa"/>
        <w:tblLayout w:type="fixed"/>
        <w:tblCellMar>
          <w:top w:w="28" w:type="dxa"/>
          <w:left w:w="28" w:type="dxa"/>
          <w:bottom w:w="28" w:type="dxa"/>
          <w:right w:w="28" w:type="dxa"/>
        </w:tblCellMar>
      </w:tblPr>
      <w:tblGrid>
        <w:gridCol w:w="2821"/>
        <w:gridCol w:w="146"/>
        <w:gridCol w:w="239"/>
        <w:gridCol w:w="767"/>
        <w:gridCol w:w="146"/>
        <w:gridCol w:w="146"/>
        <w:gridCol w:w="211"/>
        <w:gridCol w:w="736"/>
        <w:gridCol w:w="166"/>
        <w:gridCol w:w="146"/>
        <w:gridCol w:w="211"/>
        <w:gridCol w:w="781"/>
        <w:gridCol w:w="4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Automotive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Medical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Dacheng</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Alfmeier</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translation and other</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goodwill</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translation and other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intangible assets and accumulated amortization balances as of December 31, 2023 and 2022 were as follows:</w:t>
      </w:r>
    </w:p>
    <w:tbl>
      <w:tblPr>
        <w:tblW w:w="7518" w:type="dxa"/>
        <w:jc w:val="left"/>
        <w:tblInd w:w="0" w:type="dxa"/>
        <w:tblLayout w:type="fixed"/>
        <w:tblCellMar>
          <w:top w:w="28" w:type="dxa"/>
          <w:left w:w="28" w:type="dxa"/>
          <w:bottom w:w="28" w:type="dxa"/>
          <w:right w:w="28" w:type="dxa"/>
        </w:tblCellMar>
      </w:tblPr>
      <w:tblGrid>
        <w:gridCol w:w="2821"/>
        <w:gridCol w:w="146"/>
        <w:gridCol w:w="277"/>
        <w:gridCol w:w="1028"/>
        <w:gridCol w:w="146"/>
        <w:gridCol w:w="146"/>
        <w:gridCol w:w="225"/>
        <w:gridCol w:w="901"/>
        <w:gridCol w:w="166"/>
        <w:gridCol w:w="146"/>
        <w:gridCol w:w="267"/>
        <w:gridCol w:w="858"/>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3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391" w:type="dxa"/>
            <w:tcBorders/>
            <w:shd w:fill="CFF0FC" w:val="cle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December 31, 2022, the estimated fair value of the Medical reporting unit exceeded its carrying value by less than 10%. During the second quarter of 2023, the Company’s Medical reporting unit did not perform in-line with forecasted results primarily driven by slower than anticipated revenue growth. As a result, an indicator of impairment was identified and the Company performed an interim quantitative assessment as of June 30, 2023. The results of this quantitative analysis indicated the carrying value of the reporting unit exceeded the fair value of the reporting unit, and accordingly an impairment expense was recorded for $19,509. No further impairment was recorded as of December 31,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utilized an income approach to estimate the fair value of the reporting unit and a market valuation approach to further support this analysis (level 3). The income approach was based on projected debt-free cash flow that was discounted to the present value using discount factors that considered the timing and risk of cash flows. Fair value was estimated using internally developed forecasts, as well as commercial and discount rate assumptions. The discount rate used was the value-weighted average of </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estimated cost of equity and of debt (“cost of capital”) derived using both known and estimated customary market metrics. Our weighted average cost of capital includes a company specific risk premium to address the risks associated with achieving the projected revenue and profitability growth rates. Other significant assumptions included terminal value growth rates and terminal value margin rates. Our ability to realize the future cash flows used in our calculations is affected by factors such as the success of strategic initiatives, changes in economic conditions, changes in our operating performance and changes in our business strategies. To further support the fair value estimate determined by the income approach, the Company utilized a market valuation approach to estimate the fair value of the Medical reporting unit. The market approach considered historical and anticipated financial metrics of the Medical reporting unit and applied valuation multiples based on recent observed transactions involving companies similar enough to the Medical reporting unit from which to draw meaningful conclusions.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31, 2022, the Company approved a plan to exit its non-automotive electronics business, resulting in an impairment of our customer relationships intangible assets of $5,601. See Note 5, "Restructuring and Impairments,"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Alfmeier, the Company recorded technology of $11,647 and customer relationships of $19,812. These definite-lived assets are being amortized using the straight-line method over their estimated useful lives of approximately 9 years and 14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acquisition of Dacheng, the Company recorded technology of $4,749, customer relationships of $12,837, and indefinite-lived tradenames of $2,473. Technology and customer relationships are definite-lived assets that are being amortized using the straight-line method over their estimated useful lives of approximately 12 years for 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total of $8,290, $9,018, and $8,821 in other intangible assets were amortized in 2023, 2022 and 2021,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An estimate of future amortization of other intangible assets, is as follows:</w:t>
      </w:r>
    </w:p>
    <w:tbl>
      <w:tblPr>
        <w:tblW w:w="1660" w:type="dxa"/>
        <w:jc w:val="left"/>
        <w:tblInd w:w="0" w:type="dxa"/>
        <w:tblLayout w:type="fixed"/>
        <w:tblCellMar>
          <w:top w:w="28" w:type="dxa"/>
          <w:left w:w="28" w:type="dxa"/>
          <w:bottom w:w="28" w:type="dxa"/>
          <w:right w:w="28" w:type="dxa"/>
        </w:tblCellMar>
      </w:tblPr>
      <w:tblGrid>
        <w:gridCol w:w="541"/>
        <w:gridCol w:w="146"/>
        <w:gridCol w:w="211"/>
        <w:gridCol w:w="57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Components of lease expense for the years ended December 31, 2023, 2022 and 2021 were as follows:</w:t>
      </w:r>
    </w:p>
    <w:tbl>
      <w:tblPr>
        <w:tblW w:w="7763" w:type="dxa"/>
        <w:jc w:val="left"/>
        <w:tblInd w:w="0" w:type="dxa"/>
        <w:tblLayout w:type="fixed"/>
        <w:tblCellMar>
          <w:top w:w="28" w:type="dxa"/>
          <w:left w:w="28" w:type="dxa"/>
          <w:bottom w:w="28" w:type="dxa"/>
          <w:right w:w="28" w:type="dxa"/>
        </w:tblCellMar>
      </w:tblPr>
      <w:tblGrid>
        <w:gridCol w:w="3846"/>
        <w:gridCol w:w="146"/>
        <w:gridCol w:w="211"/>
        <w:gridCol w:w="676"/>
        <w:gridCol w:w="146"/>
        <w:gridCol w:w="146"/>
        <w:gridCol w:w="211"/>
        <w:gridCol w:w="571"/>
        <w:gridCol w:w="166"/>
        <w:gridCol w:w="146"/>
        <w:gridCol w:w="211"/>
        <w:gridCol w:w="676"/>
        <w:gridCol w:w="61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ROU assets -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 -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8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8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Other information related to leases is as follows:</w:t>
      </w:r>
    </w:p>
    <w:tbl>
      <w:tblPr>
        <w:tblW w:w="10205" w:type="dxa"/>
        <w:jc w:val="left"/>
        <w:tblInd w:w="0" w:type="dxa"/>
        <w:tblLayout w:type="fixed"/>
        <w:tblCellMar>
          <w:top w:w="28" w:type="dxa"/>
          <w:left w:w="28" w:type="dxa"/>
          <w:bottom w:w="28" w:type="dxa"/>
          <w:right w:w="28" w:type="dxa"/>
        </w:tblCellMar>
      </w:tblPr>
      <w:tblGrid>
        <w:gridCol w:w="5765"/>
        <w:gridCol w:w="146"/>
        <w:gridCol w:w="452"/>
        <w:gridCol w:w="1225"/>
        <w:gridCol w:w="273"/>
        <w:gridCol w:w="147"/>
        <w:gridCol w:w="397"/>
        <w:gridCol w:w="1280"/>
        <w:gridCol w:w="520"/>
      </w:tblGrid>
      <w:tr>
        <w:trPr/>
        <w:tc>
          <w:tcPr>
            <w:tcW w:w="5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76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76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ind w:left="0" w:right="0" w:firstLine="200"/>
              <w:jc w:val="right"/>
              <w:rPr/>
            </w:pPr>
            <w:r>
              <w:rPr/>
              <w:t> </w:t>
            </w:r>
          </w:p>
        </w:tc>
      </w:tr>
      <w:tr>
        <w:trPr/>
        <w:tc>
          <w:tcPr>
            <w:tcW w:w="5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for operating leases</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9,249</w:t>
            </w:r>
          </w:p>
        </w:tc>
        <w:tc>
          <w:tcPr>
            <w:tcW w:w="27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520" w:type="dxa"/>
            <w:tcBorders/>
            <w:shd w:fill="FFFFFF" w:val="clear"/>
            <w:vAlign w:val="center"/>
          </w:tcPr>
          <w:p>
            <w:pPr>
              <w:pStyle w:val="TableContents"/>
              <w:bidi w:val="0"/>
              <w:spacing w:before="0" w:after="283"/>
              <w:ind w:left="0" w:right="0" w:firstLine="200"/>
              <w:jc w:val="left"/>
              <w:rPr/>
            </w:pPr>
            <w:r>
              <w:rPr/>
              <w:t> </w:t>
            </w:r>
          </w:p>
        </w:tc>
      </w:tr>
      <w:tr>
        <w:trPr/>
        <w:tc>
          <w:tcPr>
            <w:tcW w:w="5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for finance leases</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2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20" w:type="dxa"/>
            <w:tcBorders/>
            <w:shd w:fill="CFF0FC" w:val="clear"/>
            <w:vAlign w:val="center"/>
          </w:tcPr>
          <w:p>
            <w:pPr>
              <w:pStyle w:val="TableContents"/>
              <w:bidi w:val="0"/>
              <w:spacing w:before="0" w:after="283"/>
              <w:ind w:left="0" w:right="0" w:firstLine="200"/>
              <w:jc w:val="left"/>
              <w:rPr/>
            </w:pPr>
            <w:r>
              <w:rPr/>
              <w:t> </w:t>
            </w:r>
          </w:p>
        </w:tc>
      </w:tr>
      <w:tr>
        <w:trPr/>
        <w:tc>
          <w:tcPr>
            <w:tcW w:w="5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for finance leases</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20" w:type="dxa"/>
            <w:tcBorders/>
            <w:shd w:fill="FFFFFF" w:val="clear"/>
            <w:vAlign w:val="center"/>
          </w:tcPr>
          <w:p>
            <w:pPr>
              <w:pStyle w:val="TableContents"/>
              <w:bidi w:val="0"/>
              <w:spacing w:before="0" w:after="283"/>
              <w:jc w:val="left"/>
              <w:rPr/>
            </w:pPr>
            <w:r>
              <w:rPr/>
              <w:t> </w:t>
            </w:r>
          </w:p>
        </w:tc>
      </w:tr>
      <w:tr>
        <w:trPr/>
        <w:tc>
          <w:tcPr>
            <w:tcW w:w="576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lease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ind w:left="0" w:right="0" w:firstLine="200"/>
              <w:jc w:val="right"/>
              <w:rPr/>
            </w:pPr>
            <w:r>
              <w:rPr/>
              <w:t> </w:t>
            </w:r>
          </w:p>
        </w:tc>
      </w:tr>
      <w:tr>
        <w:trPr/>
        <w:tc>
          <w:tcPr>
            <w:tcW w:w="5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27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w:t>
            </w:r>
          </w:p>
        </w:tc>
        <w:tc>
          <w:tcPr>
            <w:tcW w:w="520" w:type="dxa"/>
            <w:tcBorders/>
            <w:shd w:fill="FFFFFF" w:val="clear"/>
            <w:vAlign w:val="center"/>
          </w:tcPr>
          <w:p>
            <w:pPr>
              <w:pStyle w:val="TableContents"/>
              <w:bidi w:val="0"/>
              <w:spacing w:before="0" w:after="283"/>
              <w:ind w:left="0" w:right="0" w:firstLine="200"/>
              <w:jc w:val="left"/>
              <w:rPr/>
            </w:pPr>
            <w:r>
              <w:rPr/>
              <w:t> </w:t>
            </w:r>
          </w:p>
        </w:tc>
      </w:tr>
      <w:tr>
        <w:trPr/>
        <w:tc>
          <w:tcPr>
            <w:tcW w:w="5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225" w:type="dxa"/>
            <w:tcBorders/>
            <w:shd w:fill="CFF0FC" w:val="clear"/>
            <w:vAlign w:val="center"/>
          </w:tcPr>
          <w:p>
            <w:pPr>
              <w:pStyle w:val="TableContents"/>
              <w:bidi w:val="0"/>
              <w:spacing w:before="0" w:after="283"/>
              <w:jc w:val="right"/>
              <w:rPr>
                <w:color w:val="000000"/>
              </w:rPr>
            </w:pPr>
            <w:r>
              <w:rPr>
                <w:color w:val="000000"/>
              </w:rPr>
              <w:t>—</w:t>
            </w:r>
          </w:p>
        </w:tc>
        <w:tc>
          <w:tcPr>
            <w:tcW w:w="273"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520" w:type="dxa"/>
            <w:tcBorders/>
            <w:shd w:fill="CFF0FC" w:val="clear"/>
            <w:vAlign w:val="center"/>
          </w:tcPr>
          <w:p>
            <w:pPr>
              <w:pStyle w:val="TableContents"/>
              <w:bidi w:val="0"/>
              <w:spacing w:before="0" w:after="283"/>
              <w:ind w:left="0" w:right="0" w:firstLine="200"/>
              <w:jc w:val="left"/>
              <w:rPr/>
            </w:pPr>
            <w:r>
              <w:rPr/>
              <w:t> </w:t>
            </w:r>
          </w:p>
        </w:tc>
      </w:tr>
      <w:tr>
        <w:trPr/>
        <w:tc>
          <w:tcPr>
            <w:tcW w:w="576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ind w:left="0" w:right="0" w:firstLine="200"/>
              <w:jc w:val="right"/>
              <w:rPr/>
            </w:pPr>
            <w:r>
              <w:rPr/>
              <w:t> </w:t>
            </w:r>
          </w:p>
        </w:tc>
      </w:tr>
      <w:tr>
        <w:trPr/>
        <w:tc>
          <w:tcPr>
            <w:tcW w:w="5765"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ind w:left="0" w:right="0" w:firstLine="200"/>
              <w:jc w:val="right"/>
              <w:rPr/>
            </w:pPr>
            <w:r>
              <w:rPr/>
              <w:t> </w:t>
            </w:r>
          </w:p>
        </w:tc>
      </w:tr>
      <w:tr>
        <w:trPr/>
        <w:tc>
          <w:tcPr>
            <w:tcW w:w="5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years</w:t>
            </w:r>
          </w:p>
        </w:tc>
        <w:tc>
          <w:tcPr>
            <w:tcW w:w="27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 years</w:t>
            </w:r>
          </w:p>
        </w:tc>
        <w:tc>
          <w:tcPr>
            <w:tcW w:w="520" w:type="dxa"/>
            <w:tcBorders/>
            <w:shd w:fill="FFFFFF" w:val="clear"/>
            <w:vAlign w:val="center"/>
          </w:tcPr>
          <w:p>
            <w:pPr>
              <w:pStyle w:val="TableContents"/>
              <w:bidi w:val="0"/>
              <w:spacing w:before="0" w:after="283"/>
              <w:ind w:left="0" w:right="0" w:firstLine="200"/>
              <w:jc w:val="right"/>
              <w:rPr/>
            </w:pPr>
            <w:r>
              <w:rPr/>
              <w:t> </w:t>
            </w:r>
          </w:p>
        </w:tc>
      </w:tr>
      <w:tr>
        <w:trPr/>
        <w:tc>
          <w:tcPr>
            <w:tcW w:w="5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years</w:t>
            </w:r>
          </w:p>
        </w:tc>
        <w:tc>
          <w:tcPr>
            <w:tcW w:w="273"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16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 years</w:t>
            </w:r>
          </w:p>
        </w:tc>
        <w:tc>
          <w:tcPr>
            <w:tcW w:w="520" w:type="dxa"/>
            <w:tcBorders/>
            <w:shd w:fill="CFF0FC" w:val="clear"/>
            <w:vAlign w:val="center"/>
          </w:tcPr>
          <w:p>
            <w:pPr>
              <w:pStyle w:val="TableContents"/>
              <w:bidi w:val="0"/>
              <w:spacing w:before="0" w:after="283"/>
              <w:jc w:val="right"/>
              <w:rPr/>
            </w:pPr>
            <w:r>
              <w:rPr/>
              <w:t> </w:t>
            </w:r>
          </w:p>
        </w:tc>
      </w:tr>
      <w:tr>
        <w:trPr/>
        <w:tc>
          <w:tcPr>
            <w:tcW w:w="576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677" w:type="dxa"/>
            <w:gridSpan w:val="2"/>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ind w:left="0" w:right="0" w:firstLine="200"/>
              <w:jc w:val="right"/>
              <w:rPr/>
            </w:pPr>
            <w:r>
              <w:rPr/>
              <w:t> </w:t>
            </w:r>
          </w:p>
        </w:tc>
      </w:tr>
      <w:tr>
        <w:trPr/>
        <w:tc>
          <w:tcPr>
            <w:tcW w:w="5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left"/>
              <w:rPr/>
            </w:pPr>
            <w:r>
              <w:rPr/>
              <w:t> </w:t>
            </w:r>
          </w:p>
        </w:tc>
        <w:tc>
          <w:tcPr>
            <w:tcW w:w="12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52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5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operating leases as of December 31, 2023, under all non-cancellable operating leases with terms exceeding one year is as follows:</w:t>
      </w:r>
    </w:p>
    <w:tbl>
      <w:tblPr>
        <w:tblW w:w="4825" w:type="dxa"/>
        <w:jc w:val="left"/>
        <w:tblInd w:w="0" w:type="dxa"/>
        <w:tblLayout w:type="fixed"/>
        <w:tblCellMar>
          <w:top w:w="28" w:type="dxa"/>
          <w:left w:w="28" w:type="dxa"/>
          <w:bottom w:w="28" w:type="dxa"/>
          <w:right w:w="28" w:type="dxa"/>
        </w:tblCellMar>
      </w:tblPr>
      <w:tblGrid>
        <w:gridCol w:w="3381"/>
        <w:gridCol w:w="146"/>
        <w:gridCol w:w="211"/>
        <w:gridCol w:w="676"/>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or later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27,429</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 summary of finance leases as of December 31, 2023, under all non-cancellable finance leases with terms exceeding one year is as follows:</w:t>
      </w:r>
    </w:p>
    <w:tbl>
      <w:tblPr>
        <w:tblW w:w="4570" w:type="dxa"/>
        <w:jc w:val="left"/>
        <w:tblInd w:w="0" w:type="dxa"/>
        <w:tblLayout w:type="fixed"/>
        <w:tblCellMar>
          <w:top w:w="28" w:type="dxa"/>
          <w:left w:w="28" w:type="dxa"/>
          <w:bottom w:w="28" w:type="dxa"/>
          <w:right w:w="28" w:type="dxa"/>
        </w:tblCellMar>
      </w:tblPr>
      <w:tblGrid>
        <w:gridCol w:w="3381"/>
        <w:gridCol w:w="146"/>
        <w:gridCol w:w="211"/>
        <w:gridCol w:w="421"/>
        <w:gridCol w:w="41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shd w:fill="FFFFFF" w:val="clear"/>
            <w:vAlign w:val="center"/>
          </w:tcPr>
          <w:p>
            <w:pPr>
              <w:pStyle w:val="TableContents"/>
              <w:bidi w:val="0"/>
              <w:spacing w:before="0" w:after="283"/>
              <w:jc w:val="lef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411" w:type="dxa"/>
            <w:tcBorders/>
            <w:shd w:fill="CFF0FC" w:val="clear"/>
            <w:vAlign w:val="center"/>
          </w:tcPr>
          <w:p>
            <w:pPr>
              <w:pStyle w:val="TableContents"/>
              <w:bidi w:val="0"/>
              <w:spacing w:before="0" w:after="283"/>
              <w:jc w:val="left"/>
              <w:rPr/>
            </w:pPr>
            <w:r>
              <w:rPr/>
              <w:t> </w:t>
            </w:r>
          </w:p>
        </w:tc>
      </w:tr>
      <w:tr>
        <w:trPr/>
        <w:tc>
          <w:tcPr>
            <w:tcW w:w="3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9 </w:t>
      </w:r>
      <w:r>
        <w:rPr>
          <w:rFonts w:ascii="Times New Roman" w:hAnsi="Times New Roman"/>
          <w:color w:val="000000"/>
          <w:sz w:val="20"/>
        </w:rPr>
        <w:t xml:space="preserve">— </w:t>
      </w:r>
      <w:r>
        <w:rPr>
          <w:rFonts w:ascii="Times New Roman" w:hAnsi="Times New Roman"/>
          <w:b/>
          <w:color w:val="000000"/>
          <w:sz w:val="20"/>
        </w:rPr>
        <w:t>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debt as of December 31, 2023 and 2022:</w:t>
      </w:r>
    </w:p>
    <w:tbl>
      <w:tblPr>
        <w:tblW w:w="9789" w:type="dxa"/>
        <w:jc w:val="left"/>
        <w:tblInd w:w="0" w:type="dxa"/>
        <w:tblLayout w:type="fixed"/>
        <w:tblCellMar>
          <w:top w:w="28" w:type="dxa"/>
          <w:left w:w="28" w:type="dxa"/>
          <w:bottom w:w="28" w:type="dxa"/>
          <w:right w:w="28" w:type="dxa"/>
        </w:tblCellMar>
      </w:tblPr>
      <w:tblGrid>
        <w:gridCol w:w="4211"/>
        <w:gridCol w:w="146"/>
        <w:gridCol w:w="168"/>
        <w:gridCol w:w="538"/>
        <w:gridCol w:w="271"/>
        <w:gridCol w:w="146"/>
        <w:gridCol w:w="211"/>
        <w:gridCol w:w="781"/>
        <w:gridCol w:w="166"/>
        <w:gridCol w:w="146"/>
        <w:gridCol w:w="310"/>
        <w:gridCol w:w="995"/>
        <w:gridCol w:w="271"/>
        <w:gridCol w:w="146"/>
        <w:gridCol w:w="211"/>
        <w:gridCol w:w="781"/>
        <w:gridCol w:w="291"/>
      </w:tblGrid>
      <w:tr>
        <w:trPr/>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2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Revolving Note (U.S. Dollar denominations)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232,000</w:t>
            </w:r>
          </w:p>
        </w:tc>
        <w:tc>
          <w:tcPr>
            <w:tcW w:w="291" w:type="dxa"/>
            <w:tcBorders/>
            <w:shd w:fill="FFFFFF" w:val="clear"/>
            <w:vAlign w:val="center"/>
          </w:tcPr>
          <w:p>
            <w:pPr>
              <w:pStyle w:val="TableContents"/>
              <w:bidi w:val="0"/>
              <w:spacing w:before="0" w:after="283"/>
              <w:jc w:val="left"/>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loans</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 - 5.21%</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291" w:type="dxa"/>
            <w:tcBorders/>
            <w:shd w:fill="CFF0FC" w:val="clear"/>
            <w:vAlign w:val="center"/>
          </w:tcPr>
          <w:p>
            <w:pPr>
              <w:pStyle w:val="TableContents"/>
              <w:bidi w:val="0"/>
              <w:spacing w:before="0" w:after="283"/>
              <w:jc w:val="left"/>
              <w:rPr/>
            </w:pPr>
            <w:r>
              <w:rPr/>
              <w:t> </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235,096</w:t>
            </w:r>
          </w:p>
        </w:tc>
        <w:tc>
          <w:tcPr>
            <w:tcW w:w="291" w:type="dxa"/>
            <w:tcBorders/>
            <w:shd w:fill="CFF0FC" w:val="clear"/>
            <w:vAlign w:val="center"/>
          </w:tcPr>
          <w:p>
            <w:pPr>
              <w:pStyle w:val="TableContents"/>
              <w:bidi w:val="0"/>
              <w:spacing w:before="0" w:after="283"/>
              <w:jc w:val="left"/>
              <w:rPr/>
            </w:pPr>
            <w:r>
              <w:rPr/>
              <w:t> </w:t>
            </w:r>
          </w:p>
        </w:tc>
      </w:tr>
      <w:tr>
        <w:trPr/>
        <w:tc>
          <w:tcPr>
            <w:tcW w:w="4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10, 2022, the Company entered into a Second Amended and Restated Credit Agreement (the “Second Amended and Restated Credit Agreement”) with a consortium of lenders and Bank of America, N.A. as administrative agent (the “Agent”). The Second Amended and Restated Credit Agreement amended and restated in its entirety the Amended and Restated Credit Agreement dated June 27, 2019, by and among Gentherm, certain of its direct and indirect subsidiaries, the lenders party thereto and the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Amended and Restated Credit Agreement provides for a $500,000 secured revolving credit facility (the “Revolving Credit Facility”) (a $25,000 increase from the revolving credit facility under the Amended and Restated Credit Agreement), with a $50,000 sublimit for swing line loans and a $15,000 sublimit for the issuance of standby letters of credit. Any amount of the facility utilized for swing line loans or letters of credit outstanding will reduce the amount available under the Second Amended and Restated Credit Agreement. The Company had no outstanding letters of credit issued as of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specified conditions, Gentherm can increase the Revolving Credit Facility or incur secured term loans in an aggregate amount of up to $200,000. The Second Amended and Restated Credit Agreement extended the maturity of the Revolving Credit Facility from June 27, 2024 to June 10,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borrowers and guarantors participating in the Second Amended and Restated Credit Agreement also entered into a Second Amended and Restated Pledge and Security Agreement (the “Second Amended and Restated Security Agreement”). The Second Amended and Restated Security Agreement grants a security interest to the Agent in substantially all of the personal property of the Company and its U.S. subsidiaries designated as borrowers to secure their respective obligations under the Second Amended and Restated Security Agreement, including the stock and membership interests of specified subsidiaries (limited to 66% of the stock in the case of certain non-U.S. subsidiaries). In addition to the security obligations, all obligations under the Second Amended and Restated Credit Agreement (including all obligations of any U.S. or non-U.S. loan party) are unconditionally guaranteed by certain of Gentherm’s domestic subsidiaries, and the German subsidiary borrowers and certain other foreign subsidiaries guarantee all obligations of the non-U.S. loan parties under the Second Amended and Restated Credit Agreement. The Second Amended and Restated Credit Agreement restricts, among other things, the amount of dividend payments the Company can make to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Amended and Restated Credit Agreement contains covenants, that, among other things, (i) prohibit or limit the ability of the borrowers and any material subsidiary to incur additional indebtedness, create liens, pay dividends, make certain types of investments (including acquisitions),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Second Amended and Restated Credit Agreement also contains customary events of default. As of December 31, 2023, the Company was in compliance with the terms of the Second Amended and Restated Credit Agreement. The Second Amended and Restated Credit Agreement additionally contains customary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events of default. Upon the occurrence of an event of default, the amounts outstanding under the Revolving Credit Facility may be accelerated and may become immediately due and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Second Amended and Restated Credit Agreement, U.S. Dollar denominated loans bear interest at either a base rate (“Base Rate Loans”) or Term SOFR rate (“Term SOFR Rate Loans”), plus a margin (“Applicable Rate”). The rate for Base Rate Loans is equal to the highest of the Federal Funds Rate plus 0.50%, Bank of America’s prime rate, or the Term SOFR rate plus 1.00%. The rate for Term SOFR Rate Loans denominated in U.S. Dollars is equal to the forward-looking Secured Overnight Financing Rate (“SOFR”) term rate administered by the CME with a term of one month. All loans denominated in a currency other than the U.S. Dollar must be Term SOFR Rate Loans. Interest is payable at least quarterly. Additionally, a commitment fee of between 0.175% to 0.300%, which will vary based on the Consolidated Net Leverage Ratio, as defined in the Second Amended and Restated Credit Agreement, is payable on the average daily unused amounts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Rate varies based on the Consolidated Net Leverage Ratio reported by the Company. As long as the Company is not in default of the terms and conditions of the Second Amended and Restated Credit Agreement, the lowest and highest possible Applicable Rate is 1.125% and 2.125%, respectively, for Term SOFR Rate Loans and 0.125% and 1.125%, respectively, for Base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 availability is subject to, among other things, the Company’s compliance with the minimum Consolidated Interest Coverage Ratio and the maximum Consolidated Net Leverage Ratio as of the end of any fiscal quarter. Based upon consolidated EBITDA for the trailing four fiscal quarters calculated for purposes of the Consolidated Net Leverage Ratio, $278,000 remained available as of December 31, 2023 for additional borrowings under the Second Amended and Restated Credit Agreement subject to specified conditions that Gentherm currently satisfies.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Second Amended and Restated Credit Agreement, the Company incurred debt issuance costs of $1,520, which have been capitalized and are amortized into interest expense over the term of the Revolving Credit Facility. In addition, unamortized deferred debt issuance costs of $144 were written-off and recognized in Interest expense, net during the twelve months ended December 31, 2022.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scheduled principal maturities of our debt as of December 31, 2023 were as follows:</w:t>
      </w:r>
    </w:p>
    <w:tbl>
      <w:tblPr>
        <w:tblW w:w="4836" w:type="dxa"/>
        <w:jc w:val="left"/>
        <w:tblInd w:w="0" w:type="dxa"/>
        <w:tblLayout w:type="fixed"/>
        <w:tblCellMar>
          <w:top w:w="28" w:type="dxa"/>
          <w:left w:w="28" w:type="dxa"/>
          <w:bottom w:w="28" w:type="dxa"/>
          <w:right w:w="28" w:type="dxa"/>
        </w:tblCellMar>
      </w:tblPr>
      <w:tblGrid>
        <w:gridCol w:w="756"/>
        <w:gridCol w:w="146"/>
        <w:gridCol w:w="211"/>
        <w:gridCol w:w="781"/>
        <w:gridCol w:w="146"/>
        <w:gridCol w:w="146"/>
        <w:gridCol w:w="325"/>
        <w:gridCol w:w="650"/>
        <w:gridCol w:w="146"/>
        <w:gridCol w:w="146"/>
        <w:gridCol w:w="211"/>
        <w:gridCol w:w="781"/>
        <w:gridCol w:w="391"/>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w:t>
              <w:br/>
              <w:t>Revolving</w:t>
              <w:b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91" w:type="dxa"/>
            <w:tcBorders/>
            <w:shd w:fill="CFF0FC" w:val="clear"/>
            <w:vAlign w:val="center"/>
          </w:tcPr>
          <w:p>
            <w:pPr>
              <w:pStyle w:val="TableContents"/>
              <w:bidi w:val="0"/>
              <w:spacing w:before="0" w:after="283"/>
              <w:jc w:val="left"/>
              <w:rPr/>
            </w:pPr>
            <w:r>
              <w:rPr/>
              <w:t> </w:t>
            </w:r>
          </w:p>
        </w:tc>
      </w:tr>
      <w:tr>
        <w:trPr/>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shd w:fill="FFFFFF" w:val="clear"/>
            <w:vAlign w:val="center"/>
          </w:tcPr>
          <w:p>
            <w:pPr>
              <w:pStyle w:val="TableContents"/>
              <w:bidi w:val="0"/>
              <w:spacing w:before="0" w:after="283"/>
              <w:jc w:val="left"/>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vAlign w:val="center"/>
          </w:tcPr>
          <w:p>
            <w:pPr>
              <w:pStyle w:val="TableContents"/>
              <w:bidi w:val="0"/>
              <w:spacing w:before="0" w:after="283"/>
              <w:jc w:val="left"/>
              <w:rPr/>
            </w:pPr>
            <w:r>
              <w:rPr/>
              <w:t> </w:t>
            </w:r>
          </w:p>
        </w:tc>
      </w:tr>
      <w:tr>
        <w:trPr/>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391" w:type="dxa"/>
            <w:tcBorders/>
            <w:shd w:fill="FFFFFF" w:val="clear"/>
            <w:vAlign w:val="center"/>
          </w:tcPr>
          <w:p>
            <w:pPr>
              <w:pStyle w:val="TableContents"/>
              <w:bidi w:val="0"/>
              <w:spacing w:before="0" w:after="283"/>
              <w:jc w:val="left"/>
              <w:rPr/>
            </w:pPr>
            <w:r>
              <w:rPr/>
              <w:t> </w:t>
            </w:r>
          </w:p>
        </w:tc>
      </w:tr>
      <w:tr>
        <w:trPr/>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10 </w:t>
      </w:r>
      <w:r>
        <w:rPr>
          <w:rFonts w:ascii="Times New Roman" w:hAnsi="Times New Roman"/>
          <w:color w:val="000000"/>
          <w:sz w:val="20"/>
        </w:rPr>
        <w:t xml:space="preserve">— </w:t>
      </w:r>
      <w:r>
        <w:rPr>
          <w:rFonts w:ascii="Times New Roman" w:hAnsi="Times New Roman"/>
          <w:b/>
          <w:color w:val="000000"/>
          <w:sz w:val="20"/>
        </w:rPr>
        <w:t>Pension and Other Post Retirement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U.S. defined benefit pension plan covering its former Chief Executive Officer (“U.S. Plan”) and a German defined benefit pension plan covering certain retired executive employees of the Company’s wholly owned subsidiary, Gentherm GmbH (“German Plan”).</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net periodic benefit cost for the Company’s defined benefit plans for the years ended December 31, 2023, 2022 and 2021 were as follows:</w:t>
      </w:r>
    </w:p>
    <w:tbl>
      <w:tblPr>
        <w:tblW w:w="10205" w:type="dxa"/>
        <w:jc w:val="left"/>
        <w:tblInd w:w="0" w:type="dxa"/>
        <w:tblLayout w:type="fixed"/>
        <w:tblCellMar>
          <w:top w:w="28" w:type="dxa"/>
          <w:left w:w="28" w:type="dxa"/>
          <w:bottom w:w="28" w:type="dxa"/>
          <w:right w:w="28" w:type="dxa"/>
        </w:tblCellMar>
      </w:tblPr>
      <w:tblGrid>
        <w:gridCol w:w="3551"/>
        <w:gridCol w:w="146"/>
        <w:gridCol w:w="211"/>
        <w:gridCol w:w="466"/>
        <w:gridCol w:w="271"/>
        <w:gridCol w:w="146"/>
        <w:gridCol w:w="211"/>
        <w:gridCol w:w="466"/>
        <w:gridCol w:w="271"/>
        <w:gridCol w:w="146"/>
        <w:gridCol w:w="211"/>
        <w:gridCol w:w="466"/>
        <w:gridCol w:w="271"/>
        <w:gridCol w:w="146"/>
        <w:gridCol w:w="211"/>
        <w:gridCol w:w="481"/>
        <w:gridCol w:w="271"/>
        <w:gridCol w:w="146"/>
        <w:gridCol w:w="211"/>
        <w:gridCol w:w="481"/>
        <w:gridCol w:w="271"/>
        <w:gridCol w:w="146"/>
        <w:gridCol w:w="211"/>
        <w:gridCol w:w="481"/>
        <w:gridCol w:w="316"/>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Plan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German Plan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periodic benefit cost:</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9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3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16"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cost and actuarial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3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return on assets</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change in benefit obligation and the change in plan assets for the years ended December 31, 2023 and 2022 is as follows:</w:t>
      </w:r>
    </w:p>
    <w:tbl>
      <w:tblPr>
        <w:tblW w:w="9672" w:type="dxa"/>
        <w:jc w:val="left"/>
        <w:tblInd w:w="0" w:type="dxa"/>
        <w:tblLayout w:type="fixed"/>
        <w:tblCellMar>
          <w:top w:w="28" w:type="dxa"/>
          <w:left w:w="28" w:type="dxa"/>
          <w:bottom w:w="28" w:type="dxa"/>
          <w:right w:w="28" w:type="dxa"/>
        </w:tblCellMar>
      </w:tblPr>
      <w:tblGrid>
        <w:gridCol w:w="4296"/>
        <w:gridCol w:w="146"/>
        <w:gridCol w:w="211"/>
        <w:gridCol w:w="631"/>
        <w:gridCol w:w="271"/>
        <w:gridCol w:w="146"/>
        <w:gridCol w:w="211"/>
        <w:gridCol w:w="631"/>
        <w:gridCol w:w="271"/>
        <w:gridCol w:w="146"/>
        <w:gridCol w:w="211"/>
        <w:gridCol w:w="631"/>
        <w:gridCol w:w="271"/>
        <w:gridCol w:w="146"/>
        <w:gridCol w:w="211"/>
        <w:gridCol w:w="631"/>
        <w:gridCol w:w="61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Plan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German Plan</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2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Paid pension distributions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Actuarial loss (gain)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Exchange rate impact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2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Paid pension distributions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2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Exchange rate impact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Underfunded Status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Pension benefit obligation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 (pre-tax):</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42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Assumptions: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Pre-tax amounts included in AOCI that are expected to be recognized in net periodic benefit cost during the year ended December 31, 2024 are as follows:</w:t>
      </w:r>
    </w:p>
    <w:tbl>
      <w:tblPr>
        <w:tblW w:w="3930" w:type="dxa"/>
        <w:jc w:val="left"/>
        <w:tblInd w:w="0" w:type="dxa"/>
        <w:tblLayout w:type="fixed"/>
        <w:tblCellMar>
          <w:top w:w="28" w:type="dxa"/>
          <w:left w:w="28" w:type="dxa"/>
          <w:bottom w:w="28" w:type="dxa"/>
          <w:right w:w="28" w:type="dxa"/>
        </w:tblCellMar>
      </w:tblPr>
      <w:tblGrid>
        <w:gridCol w:w="1396"/>
        <w:gridCol w:w="146"/>
        <w:gridCol w:w="295"/>
        <w:gridCol w:w="485"/>
        <w:gridCol w:w="146"/>
        <w:gridCol w:w="146"/>
        <w:gridCol w:w="449"/>
        <w:gridCol w:w="676"/>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German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losses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accumulated benefit obligations were as follows:</w:t>
      </w:r>
    </w:p>
    <w:tbl>
      <w:tblPr>
        <w:tblW w:w="7057" w:type="dxa"/>
        <w:jc w:val="left"/>
        <w:tblInd w:w="0" w:type="dxa"/>
        <w:tblLayout w:type="fixed"/>
        <w:tblCellMar>
          <w:top w:w="28" w:type="dxa"/>
          <w:left w:w="28" w:type="dxa"/>
          <w:bottom w:w="28" w:type="dxa"/>
          <w:right w:w="28" w:type="dxa"/>
        </w:tblCellMar>
      </w:tblPr>
      <w:tblGrid>
        <w:gridCol w:w="2716"/>
        <w:gridCol w:w="146"/>
        <w:gridCol w:w="211"/>
        <w:gridCol w:w="571"/>
        <w:gridCol w:w="146"/>
        <w:gridCol w:w="146"/>
        <w:gridCol w:w="211"/>
        <w:gridCol w:w="571"/>
        <w:gridCol w:w="146"/>
        <w:gridCol w:w="146"/>
        <w:gridCol w:w="211"/>
        <w:gridCol w:w="571"/>
        <w:gridCol w:w="146"/>
        <w:gridCol w:w="146"/>
        <w:gridCol w:w="211"/>
        <w:gridCol w:w="57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German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benefit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costs are recognized in Selling, general and administrative expenses in the consolidated statements of income and actuarial gains and losses are included the consolidated balance sheets as part of Accumulated other comprehensive loss within shareholders’ equity. Actuarial gains or losses are amortized to Selling, general and administrative expense in the consolidated statements of income based on the average future life of the U.S Plan or German Plan using the corridor method. Prior service cost is included in Selling, general and administrative expenses in the consolidated statements of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Plan assets – German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Plan assets are comprised of Gentherm GmbH’s pension insurance policies and are pledged to the beneficiaries of the German Plan. A market valuation technique, based on observable underlying insurance charges, is used to determine the fair value of the pension plan assets (Level 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return on plan assets assumption used to calculate Gentherm GmbH’s pension benefit obligation was determined using actual returns realized on plan assets in the prior year.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expect contributions to be paid to the U.S. Plan or the German Plan during the next fiscal year.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schedule of future expected pension payments is as follows:</w:t>
      </w:r>
    </w:p>
    <w:tbl>
      <w:tblPr>
        <w:tblW w:w="3557" w:type="dxa"/>
        <w:jc w:val="left"/>
        <w:tblInd w:w="0" w:type="dxa"/>
        <w:tblLayout w:type="fixed"/>
        <w:tblCellMar>
          <w:top w:w="28" w:type="dxa"/>
          <w:left w:w="28" w:type="dxa"/>
          <w:bottom w:w="28" w:type="dxa"/>
          <w:right w:w="28" w:type="dxa"/>
        </w:tblCellMar>
      </w:tblPr>
      <w:tblGrid>
        <w:gridCol w:w="1021"/>
        <w:gridCol w:w="146"/>
        <w:gridCol w:w="211"/>
        <w:gridCol w:w="571"/>
        <w:gridCol w:w="146"/>
        <w:gridCol w:w="146"/>
        <w:gridCol w:w="303"/>
        <w:gridCol w:w="822"/>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Projected Pension</w:t>
              <w:br/>
              <w:t>Benefit 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German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CFF0FC"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1" w:type="dxa"/>
            <w:tcBorders/>
            <w:shd w:fill="FFFFFF" w:val="clear"/>
            <w:vAlign w:val="center"/>
          </w:tcPr>
          <w:p>
            <w:pPr>
              <w:pStyle w:val="TableContents"/>
              <w:bidi w:val="0"/>
              <w:spacing w:before="0" w:after="283"/>
              <w:jc w:val="left"/>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91" w:type="dxa"/>
            <w:tcBorders/>
            <w:shd w:fill="CFF0FC"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FFFFFF" w:val="clear"/>
            <w:vAlign w:val="center"/>
          </w:tcPr>
          <w:p>
            <w:pPr>
              <w:pStyle w:val="TableContents"/>
              <w:bidi w:val="0"/>
              <w:spacing w:before="0" w:after="283"/>
              <w:jc w:val="left"/>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shd w:fill="CFF0FC"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2029-2032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sponsors defined contribution plans for eligible employees. On a discretionary basis, the Company matches a portion of the employee contributions and or makes additional discretionary contributions. Gentherm recognized costs of $2,344, $1,984 and $1,724 related to contributions to its defined contribution plans during the years ended December 31, 2023, 2022 and 2021,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11 </w:t>
      </w:r>
      <w:r>
        <w:rPr>
          <w:rFonts w:ascii="Times New Roman" w:hAnsi="Times New Roman"/>
          <w:color w:val="000000"/>
          <w:sz w:val="20"/>
        </w:rPr>
        <w:t xml:space="preserve">— </w:t>
      </w:r>
      <w:r>
        <w:rPr>
          <w:rFonts w:ascii="Times New Roman" w:hAnsi="Times New Roman"/>
          <w:b/>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Legal and 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be subject to various legal actions and claims in the ordinary course of its business, including those arising out of breach of contracts, intellectual property rights, environmental matters, regulatory matters and employment-related matters. The Company establishes accruals for matters which it believes that losses are probable and can be reasonably estimated. Although it is not possible to predict with certainty the outcome of these matters, the Company is of the opinion that the ultimate resolution of these </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matters will not have a material adverse effect on its consolidated results of operations or financial position. Product liability and warranty reserves are recorded separately from legal reserves.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Liability and Warranty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the Company’s products fail to perform as expected or result in alleged bodily injury or property damage, our products may subject us to warranty claims and product liability. If any of our products are or are alleged to be defective, we may be required to participate in a recall or other corrective action involving such products. The Company maintains liability insurance coverage at levels based on commercial norms and historical claims experience. The Company can provide no assurances that it will not experience material claims in the future or that it will not incur significant costs to defend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accrues warranty obligations for products sold based on management estimates of future failure rates and current claim cost experience, with support from the sales, engineering, quality and legal functions. Using historical information available to the Company, including claims already filed by customers, the warranty accrual is adjusted quarterly to reflect management’s best estimate of future claims.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is a reconciliation of the changes in accrued warranty costs: </w:t>
      </w:r>
    </w:p>
    <w:tbl>
      <w:tblPr>
        <w:tblW w:w="8709" w:type="dxa"/>
        <w:jc w:val="left"/>
        <w:tblInd w:w="0" w:type="dxa"/>
        <w:tblLayout w:type="fixed"/>
        <w:tblCellMar>
          <w:top w:w="28" w:type="dxa"/>
          <w:left w:w="28" w:type="dxa"/>
          <w:bottom w:w="28" w:type="dxa"/>
          <w:right w:w="28" w:type="dxa"/>
        </w:tblCellMar>
      </w:tblPr>
      <w:tblGrid>
        <w:gridCol w:w="5556"/>
        <w:gridCol w:w="346"/>
        <w:gridCol w:w="211"/>
        <w:gridCol w:w="631"/>
        <w:gridCol w:w="366"/>
        <w:gridCol w:w="346"/>
        <w:gridCol w:w="211"/>
        <w:gridCol w:w="631"/>
        <w:gridCol w:w="411"/>
      </w:tblGrid>
      <w:tr>
        <w:trPr/>
        <w:tc>
          <w:tcPr>
            <w:tcW w:w="5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Warranty opening balance from acquired entities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5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claims paid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expense for products shipped during the current period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5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warranty estimates from prior periods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due to currency translation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33% of the Company’s workforce are members of industrial trade unions and are employed under the terms of various labor agreements. In 2024, certain agreements will require a vote on the terms of their respective labor contracts.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12 </w:t>
      </w:r>
      <w:r>
        <w:rPr>
          <w:rFonts w:ascii="Times New Roman" w:hAnsi="Times New Roman"/>
          <w:color w:val="000000"/>
          <w:sz w:val="20"/>
        </w:rPr>
        <w:t xml:space="preserve">— </w:t>
      </w: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are computed by dividing net income by the weighted average number of shares of Common Stock outstanding during the period. The Company’s diluted earnings per share give effect to all potential shares of Common Stock outstanding during a period that do not have an anti-dilutive impact to the calculation. In computing the diluted earnings per share, the treasury stock method is used in determining the number of shares assumed to be issued from the exercise of Common Stock equivalents.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illustrates earnings per share and the weighted average shares outstanding used in calculating basic and diluted earnings per share: </w:t>
      </w:r>
    </w:p>
    <w:tbl>
      <w:tblPr>
        <w:tblW w:w="10205" w:type="dxa"/>
        <w:jc w:val="left"/>
        <w:tblInd w:w="0" w:type="dxa"/>
        <w:tblLayout w:type="fixed"/>
        <w:tblCellMar>
          <w:top w:w="28" w:type="dxa"/>
          <w:left w:w="28" w:type="dxa"/>
          <w:bottom w:w="28" w:type="dxa"/>
          <w:right w:w="28" w:type="dxa"/>
        </w:tblCellMar>
      </w:tblPr>
      <w:tblGrid>
        <w:gridCol w:w="5543"/>
        <w:gridCol w:w="146"/>
        <w:gridCol w:w="211"/>
        <w:gridCol w:w="1036"/>
        <w:gridCol w:w="146"/>
        <w:gridCol w:w="146"/>
        <w:gridCol w:w="211"/>
        <w:gridCol w:w="1036"/>
        <w:gridCol w:w="146"/>
        <w:gridCol w:w="146"/>
        <w:gridCol w:w="211"/>
        <w:gridCol w:w="1036"/>
        <w:gridCol w:w="191"/>
      </w:tblGrid>
      <w:tr>
        <w:trPr/>
        <w:tc>
          <w:tcPr>
            <w:tcW w:w="5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5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32,778,055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33,126,202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33,085,732</w:t>
            </w:r>
          </w:p>
        </w:tc>
        <w:tc>
          <w:tcPr>
            <w:tcW w:w="191" w:type="dxa"/>
            <w:tcBorders/>
            <w:shd w:fill="CFF0FC" w:val="clear"/>
            <w:vAlign w:val="center"/>
          </w:tcPr>
          <w:p>
            <w:pPr>
              <w:pStyle w:val="TableContents"/>
              <w:bidi w:val="0"/>
              <w:spacing w:before="0" w:after="283"/>
              <w:jc w:val="left"/>
              <w:rPr/>
            </w:pPr>
            <w:r>
              <w:rPr/>
              <w:t> </w:t>
            </w:r>
          </w:p>
        </w:tc>
      </w:tr>
      <w:tr>
        <w:trPr/>
        <w:tc>
          <w:tcPr>
            <w:tcW w:w="5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restricted stock awards and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33,066,917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33,503,154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33,509,720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91" w:type="dxa"/>
            <w:tcBorders/>
            <w:shd w:fill="CFF0FC" w:val="clear"/>
            <w:vAlign w:val="center"/>
          </w:tcPr>
          <w:p>
            <w:pPr>
              <w:pStyle w:val="TableContents"/>
              <w:bidi w:val="0"/>
              <w:spacing w:before="0" w:after="283"/>
              <w:jc w:val="left"/>
              <w:rPr/>
            </w:pPr>
            <w:r>
              <w:rPr/>
              <w:t> </w:t>
            </w:r>
          </w:p>
        </w:tc>
      </w:tr>
      <w:tr>
        <w:trPr/>
        <w:tc>
          <w:tcPr>
            <w:tcW w:w="55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17, "Accounting for Stock Based Compensation," for information about the Company’s different equity incentive plans. </w:t>
      </w:r>
    </w:p>
    <w:p>
      <w:pPr>
        <w:pStyle w:val="TextBody"/>
        <w:bidi w:val="0"/>
        <w:spacing w:before="360" w:after="283"/>
        <w:jc w:val="left"/>
        <w:rPr>
          <w:rFonts w:ascii="Times New Roman" w:hAnsi="Times New Roman"/>
          <w:sz w:val="20"/>
        </w:rPr>
      </w:pPr>
      <w:r>
        <w:rPr>
          <w:rFonts w:ascii="Times New Roman" w:hAnsi="Times New Roman"/>
          <w:b/>
          <w:color w:val="000000"/>
          <w:sz w:val="20"/>
        </w:rPr>
        <w:t>Note 13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various market risks including, but not limited to, changes in foreign currency exchange rates, changes in interest rates and price fluctuations of certain material commodities such as copper. Market risks for changes in interest rates relate primarily to its debt obligations under the Second Amended and Restated Credit Agreement. Foreign currency exchange risks are attributable to sales to foreign customers and purchases from foreign suppliers not denominated in a location’s functional currency, foreign plant operations, intercompany indebtedness, intercompany investments and include exposures to the Euro, Mexican Peso, Canadian Dollar, Hungarian Forint, North Macedonian Denar, Ukrainian Hryvnia, Japanese Yen, Chinese Renminbi, Korean Won, Czech Koruna and Vietnamese Dong.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 Some derivative contracts do not qualify for hedge accounting; for other derivative contracts, we elect to not apply hedge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which can be classified as a cash flow hedge, the effective portion of the change in the fair value of the derivative is recorded to Accumulated other comprehensive loss in the consolidated balance sheets. When the underlying hedge transaction is realized, the gain or loss included in Accumulated other comprehensive loss is recorded in earnings in the consolidated statements of income on the same line as the gain or loss on the hedged item attributable to the hedged risk. The Company records the ineffective portion of foreign currency and copper commodity hedging instruments, if any, to Cost of sales, in the consolidated statements of income. Cash flows associated with derivatives are reported in Net cash provided by operating activities in the Company’s 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approach to value derivative instruments, analyzing quoted market prices to calculate the forward values and then discounting such forward values to the present value using benchmark rates at commonly quoted intervals for the instrument’s full term.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second quarter of 2022, the Company entered into a floating-to-fixed interest rate swap agreement with a notional amount of $100,000 and a maturity date of July 2025. This interest rate swap is an undesignated hedge of the Company’s exposure to interest payment fluctuations on a portion of the Revolving Credit Facility borrowings that were drawn for the acquisitions of Alfmeier and Dacheng. The periodic changes in fair value are recognized in 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and third quarter of 2022, the Company entered into forward contracts with a notional amount of $128,319 to hedge the foreign currency risk associated with the forecasted purchase of Alfmeier. These contracts matured and were settled in the third quarter of 2022. During the year ended December 31, 2022 the Company recognized expense of $3,806 in Foreign currency (loss) gain within the consolidated income statement.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related to the recurring fair value measurement of derivative financial instruments in the consolidated balance sheet as of December 31, 2023 is as follows: </w:t>
      </w:r>
    </w:p>
    <w:tbl>
      <w:tblPr>
        <w:tblW w:w="10205" w:type="dxa"/>
        <w:jc w:val="left"/>
        <w:tblInd w:w="0" w:type="dxa"/>
        <w:tblLayout w:type="fixed"/>
        <w:tblCellMar>
          <w:top w:w="28" w:type="dxa"/>
          <w:left w:w="28" w:type="dxa"/>
          <w:bottom w:w="28" w:type="dxa"/>
          <w:right w:w="28" w:type="dxa"/>
        </w:tblCellMar>
      </w:tblPr>
      <w:tblGrid>
        <w:gridCol w:w="2192"/>
        <w:gridCol w:w="146"/>
        <w:gridCol w:w="887"/>
        <w:gridCol w:w="146"/>
        <w:gridCol w:w="241"/>
        <w:gridCol w:w="853"/>
        <w:gridCol w:w="146"/>
        <w:gridCol w:w="146"/>
        <w:gridCol w:w="1050"/>
        <w:gridCol w:w="146"/>
        <w:gridCol w:w="196"/>
        <w:gridCol w:w="511"/>
        <w:gridCol w:w="146"/>
        <w:gridCol w:w="146"/>
        <w:gridCol w:w="1127"/>
        <w:gridCol w:w="146"/>
        <w:gridCol w:w="201"/>
        <w:gridCol w:w="355"/>
        <w:gridCol w:w="146"/>
        <w:gridCol w:w="146"/>
        <w:gridCol w:w="258"/>
        <w:gridCol w:w="678"/>
        <w:gridCol w:w="196"/>
      </w:tblGrid>
      <w:tr>
        <w:trPr/>
        <w:tc>
          <w:tcPr>
            <w:tcW w:w="2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21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w:t>
              <w:br/>
              <w:t>(Liabilities)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gridSpan w:val="2"/>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r>
      <w:tr>
        <w:trPr/>
        <w:tc>
          <w:tcPr>
            <w:tcW w:w="21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8,655</w:t>
            </w:r>
          </w:p>
        </w:tc>
        <w:tc>
          <w:tcPr>
            <w:tcW w:w="196" w:type="dxa"/>
            <w:tcBorders/>
            <w:shd w:fill="FFFFFF" w:val="clear"/>
            <w:vAlign w:val="center"/>
          </w:tcPr>
          <w:p>
            <w:pPr>
              <w:pStyle w:val="TableContents"/>
              <w:bidi w:val="0"/>
              <w:spacing w:before="0" w:after="283"/>
              <w:jc w:val="left"/>
              <w:rPr/>
            </w:pPr>
            <w:r>
              <w:rPr/>
              <w:t> </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21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96"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Information related to the recurring fair value measurement of derivative financial instruments in the consolidated balance sheet as of December 31, 2022 is as follows: </w:t>
      </w:r>
    </w:p>
    <w:tbl>
      <w:tblPr>
        <w:tblW w:w="10205" w:type="dxa"/>
        <w:jc w:val="left"/>
        <w:tblInd w:w="0" w:type="dxa"/>
        <w:tblLayout w:type="fixed"/>
        <w:tblCellMar>
          <w:top w:w="28" w:type="dxa"/>
          <w:left w:w="28" w:type="dxa"/>
          <w:bottom w:w="28" w:type="dxa"/>
          <w:right w:w="28" w:type="dxa"/>
        </w:tblCellMar>
      </w:tblPr>
      <w:tblGrid>
        <w:gridCol w:w="2192"/>
        <w:gridCol w:w="146"/>
        <w:gridCol w:w="887"/>
        <w:gridCol w:w="146"/>
        <w:gridCol w:w="241"/>
        <w:gridCol w:w="853"/>
        <w:gridCol w:w="146"/>
        <w:gridCol w:w="146"/>
        <w:gridCol w:w="1050"/>
        <w:gridCol w:w="146"/>
        <w:gridCol w:w="196"/>
        <w:gridCol w:w="511"/>
        <w:gridCol w:w="146"/>
        <w:gridCol w:w="146"/>
        <w:gridCol w:w="1127"/>
        <w:gridCol w:w="146"/>
        <w:gridCol w:w="201"/>
        <w:gridCol w:w="355"/>
        <w:gridCol w:w="146"/>
        <w:gridCol w:w="146"/>
        <w:gridCol w:w="258"/>
        <w:gridCol w:w="678"/>
        <w:gridCol w:w="196"/>
      </w:tblGrid>
      <w:tr>
        <w:trPr/>
        <w:tc>
          <w:tcPr>
            <w:tcW w:w="2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21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w:t>
              <w:br/>
              <w:t>(Liabilities)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9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gridSpan w:val="2"/>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r>
      <w:tr>
        <w:trPr/>
        <w:tc>
          <w:tcPr>
            <w:tcW w:w="21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3,791</w:t>
            </w:r>
          </w:p>
        </w:tc>
        <w:tc>
          <w:tcPr>
            <w:tcW w:w="196" w:type="dxa"/>
            <w:tcBorders/>
            <w:shd w:fill="FFFFFF" w:val="clear"/>
            <w:vAlign w:val="center"/>
          </w:tcPr>
          <w:p>
            <w:pPr>
              <w:pStyle w:val="TableContents"/>
              <w:bidi w:val="0"/>
              <w:spacing w:before="0" w:after="283"/>
              <w:jc w:val="left"/>
              <w:rPr/>
            </w:pPr>
            <w:r>
              <w:rPr/>
              <w:t> </w:t>
            </w:r>
          </w:p>
        </w:tc>
      </w:tr>
      <w:tr>
        <w:trPr/>
        <w:tc>
          <w:tcPr>
            <w:tcW w:w="2192"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6"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21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1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Information related to the effect of derivative instruments in the consolidated statements of income is as follows: </w:t>
      </w:r>
    </w:p>
    <w:tbl>
      <w:tblPr>
        <w:tblW w:w="10205" w:type="dxa"/>
        <w:jc w:val="left"/>
        <w:tblInd w:w="0" w:type="dxa"/>
        <w:tblLayout w:type="fixed"/>
        <w:tblCellMar>
          <w:top w:w="28" w:type="dxa"/>
          <w:left w:w="28" w:type="dxa"/>
          <w:bottom w:w="28" w:type="dxa"/>
          <w:right w:w="28" w:type="dxa"/>
        </w:tblCellMar>
      </w:tblPr>
      <w:tblGrid>
        <w:gridCol w:w="4046"/>
        <w:gridCol w:w="146"/>
        <w:gridCol w:w="2595"/>
        <w:gridCol w:w="146"/>
        <w:gridCol w:w="211"/>
        <w:gridCol w:w="601"/>
        <w:gridCol w:w="166"/>
        <w:gridCol w:w="146"/>
        <w:gridCol w:w="211"/>
        <w:gridCol w:w="631"/>
        <w:gridCol w:w="166"/>
        <w:gridCol w:w="146"/>
        <w:gridCol w:w="211"/>
        <w:gridCol w:w="571"/>
        <w:gridCol w:w="212"/>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Location</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 –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w:t>
            </w:r>
          </w:p>
        </w:tc>
        <w:tc>
          <w:tcPr>
            <w:tcW w:w="212" w:type="dxa"/>
            <w:tcBorders/>
            <w:shd w:fill="FFFFFF" w:val="cle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foreign currency derivatives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Commodity derivatives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 –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2" w:type="dxa"/>
            <w:tcBorders/>
            <w:shd w:fill="FFFFFF" w:val="cle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commodity derivatives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(loss) gain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foreign currency derivatives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FFFFFF" w:val="clear"/>
            <w:vAlign w:val="center"/>
          </w:tcPr>
          <w:p>
            <w:pPr>
              <w:pStyle w:val="TableContents"/>
              <w:bidi w:val="0"/>
              <w:spacing w:before="0" w:after="283"/>
              <w:jc w:val="left"/>
              <w:rPr/>
            </w:pPr>
            <w:r>
              <w:rPr/>
              <w:t> </w:t>
            </w:r>
          </w:p>
        </w:tc>
        <w:tc>
          <w:tcPr>
            <w:tcW w:w="25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rate derivatives</w:t>
            </w:r>
          </w:p>
        </w:tc>
        <w:tc>
          <w:tcPr>
            <w:tcW w:w="146" w:type="dxa"/>
            <w:tcBorders/>
            <w:shd w:fill="CFF0FC" w:val="clear"/>
            <w:vAlign w:val="center"/>
          </w:tcPr>
          <w:p>
            <w:pPr>
              <w:pStyle w:val="TableContents"/>
              <w:bidi w:val="0"/>
              <w:spacing w:before="0" w:after="283"/>
              <w:jc w:val="left"/>
              <w:rPr/>
            </w:pPr>
            <w:r>
              <w:rPr/>
              <w:t> </w:t>
            </w:r>
          </w:p>
        </w:tc>
        <w:tc>
          <w:tcPr>
            <w:tcW w:w="25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incur any hedge ineffectiveness during the years ended December 31, 2023 and 2022.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Accounts Receivable Factoring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sells certain customer trade receivables on a non-recourse basis under factoring arrangements with designated financial institutions. The sale of receivables under these agreements is considered an off-balance sheet arrangement to the Company and is accounted for as a true sale and excluded from accounts receivable in the consolidated balance sheets. These factoring arrangements include a deferred purchase price component in which a portion of the purchase price for the receivable is paid by the financial institution in cash upon sale and the remaining portion is recorded as a deferred purchase price receivable and paid at a later date. Deferred purchase price receivables are recorded in Other current assets within the consolidated balance sheets. Cash proceeds received upon the sale of the receivables are included in Net cash provided by operating activities and the cash proceeds received on the deferred purchase price receivables are included in Net cash used in investing activities. All factoring arrangements incorporate customary representations, including representations as to validity of amounts due, completeness of performance obligations and absence of commercial disputes.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Receivables factored and availability under receivables factoring agreements balances as of December 31, 2023 and 2022 were as follows:</w:t>
      </w:r>
    </w:p>
    <w:tbl>
      <w:tblPr>
        <w:tblW w:w="5734" w:type="dxa"/>
        <w:jc w:val="left"/>
        <w:tblInd w:w="0" w:type="dxa"/>
        <w:tblLayout w:type="fixed"/>
        <w:tblCellMar>
          <w:top w:w="28" w:type="dxa"/>
          <w:left w:w="28" w:type="dxa"/>
          <w:bottom w:w="28" w:type="dxa"/>
          <w:right w:w="28" w:type="dxa"/>
        </w:tblCellMar>
      </w:tblPr>
      <w:tblGrid>
        <w:gridCol w:w="3331"/>
        <w:gridCol w:w="146"/>
        <w:gridCol w:w="211"/>
        <w:gridCol w:w="676"/>
        <w:gridCol w:w="146"/>
        <w:gridCol w:w="146"/>
        <w:gridCol w:w="211"/>
        <w:gridCol w:w="676"/>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 factored and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19,108</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available under the credit limit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Collective factoring limit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Trade receivables sold and factoring fees incurred during the years ended December 31, 2023 and 2022 were as follows: </w:t>
      </w:r>
    </w:p>
    <w:tbl>
      <w:tblPr>
        <w:tblW w:w="4489" w:type="dxa"/>
        <w:jc w:val="left"/>
        <w:tblInd w:w="0" w:type="dxa"/>
        <w:tblLayout w:type="fixed"/>
        <w:tblCellMar>
          <w:top w:w="28" w:type="dxa"/>
          <w:left w:w="28" w:type="dxa"/>
          <w:bottom w:w="28" w:type="dxa"/>
          <w:right w:w="28" w:type="dxa"/>
        </w:tblCellMar>
      </w:tblPr>
      <w:tblGrid>
        <w:gridCol w:w="1981"/>
        <w:gridCol w:w="146"/>
        <w:gridCol w:w="211"/>
        <w:gridCol w:w="781"/>
        <w:gridCol w:w="146"/>
        <w:gridCol w:w="146"/>
        <w:gridCol w:w="211"/>
        <w:gridCol w:w="67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2022</w:t>
            </w:r>
            <w:r>
              <w:rPr>
                <w:rFonts w:ascii="Times New Roman" w:hAnsi="Times New Roman"/>
                <w:b/>
                <w:color w:val="000000"/>
                <w:sz w:val="12"/>
              </w:rPr>
              <w:t>(a)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 sold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61,482</w:t>
            </w:r>
          </w:p>
        </w:tc>
        <w:tc>
          <w:tcPr>
            <w:tcW w:w="1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Factoring fees incurred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7"/>
        </w:rPr>
      </w:pPr>
      <w:r>
        <w:rPr>
          <w:rFonts w:ascii="Times New Roman" w:hAnsi="Times New Roman"/>
          <w:color w:val="000000"/>
          <w:sz w:val="17"/>
        </w:rPr>
        <w:t>(a)</w:t>
      </w:r>
    </w:p>
    <w:p>
      <w:pPr>
        <w:pStyle w:val="TextBody"/>
        <w:bidi w:val="0"/>
        <w:jc w:val="left"/>
        <w:rPr>
          <w:rFonts w:ascii="Times New Roman" w:hAnsi="Times New Roman"/>
          <w:color w:val="000000"/>
          <w:sz w:val="17"/>
        </w:rPr>
      </w:pPr>
      <w:r>
        <w:rPr>
          <w:rFonts w:ascii="Times New Roman" w:hAnsi="Times New Roman"/>
          <w:color w:val="000000"/>
          <w:sz w:val="17"/>
        </w:rPr>
        <w:t>Represents trade receivables sold and factoring fees incurred since the acquisition of Alfmeier (acquired on August 1, 2022).</w:t>
      </w:r>
    </w:p>
    <w:p>
      <w:pPr>
        <w:pStyle w:val="TextBody"/>
        <w:bidi w:val="0"/>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14 </w:t>
      </w:r>
      <w:r>
        <w:rPr>
          <w:rFonts w:ascii="Times New Roman" w:hAnsi="Times New Roman"/>
          <w:color w:val="000000"/>
          <w:sz w:val="20"/>
        </w:rPr>
        <w:t xml:space="preserve">— </w:t>
      </w: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to sell an asset or paid to transfer a liability (an exit price) in the principal or most advantageous market for the asset or liability in an orderly transaction between market participants on the measurement date. Fair value measurements are based on one or more of the following three valuation techniques:</w:t>
      </w:r>
    </w:p>
    <w:p>
      <w:pPr>
        <w:pStyle w:val="TextBody"/>
        <w:bidi w:val="0"/>
        <w:spacing w:before="120" w:after="283"/>
        <w:jc w:val="left"/>
        <w:rPr>
          <w:rFonts w:ascii="Times New Roman" w:hAnsi="Times New Roman"/>
          <w:sz w:val="20"/>
        </w:rPr>
      </w:pPr>
      <w:r>
        <w:rPr>
          <w:rFonts w:ascii="Times New Roman" w:hAnsi="Times New Roman"/>
          <w:i/>
          <w:color w:val="000000"/>
          <w:sz w:val="20"/>
        </w:rPr>
        <w:t>Market</w:t>
      </w:r>
      <w:r>
        <w:rPr>
          <w:rFonts w:ascii="Times New Roman" w:hAnsi="Times New Roman"/>
          <w:color w:val="000000"/>
          <w:sz w:val="20"/>
        </w:rPr>
        <w:t>: This approach uses prices and other relevant information generated by market transactions involving identical or comparable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Income</w:t>
      </w:r>
      <w:r>
        <w:rPr>
          <w:rFonts w:ascii="Times New Roman" w:hAnsi="Times New Roman"/>
          <w:color w:val="000000"/>
          <w:sz w:val="20"/>
        </w:rPr>
        <w:t>: This approach uses valuation techniques to convert future amounts to a single present value amount based on current market expectations.</w:t>
      </w:r>
    </w:p>
    <w:p>
      <w:pPr>
        <w:pStyle w:val="TextBody"/>
        <w:bidi w:val="0"/>
        <w:spacing w:before="120" w:after="283"/>
        <w:jc w:val="left"/>
        <w:rPr>
          <w:rFonts w:ascii="Times New Roman" w:hAnsi="Times New Roman"/>
          <w:sz w:val="20"/>
        </w:rPr>
      </w:pPr>
      <w:r>
        <w:rPr>
          <w:rFonts w:ascii="Times New Roman" w:hAnsi="Times New Roman"/>
          <w:i/>
          <w:color w:val="000000"/>
          <w:sz w:val="20"/>
        </w:rPr>
        <w:t>Cost</w:t>
      </w:r>
      <w:r>
        <w:rPr>
          <w:rFonts w:ascii="Times New Roman" w:hAnsi="Times New Roman"/>
          <w:color w:val="000000"/>
          <w:sz w:val="20"/>
        </w:rPr>
        <w:t>: This approach is based on the amount that would be required to replace the service capacity of an asset (replacement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the following fair value hierarchy to measure fair value into three broad levels, which are described below: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Quoted prices (unadjusted) in active markets that are accessible at the measurement date for assets or liabilities. The fair value hierarchy gives the highest priority to Level 1 inputs.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Inputs, other than quoted market prices included in Level 1, that are observable either directly or indirectly for the asset or liability.</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Unobservable inputs are used when little or no market data is available. The fair value hierarchy gives the lowest priority to Level 3 inputs. </w:t>
      </w:r>
    </w:p>
    <w:p>
      <w:pPr>
        <w:pStyle w:val="TextBody"/>
        <w:bidi w:val="0"/>
        <w:spacing w:before="240" w:after="283"/>
        <w:jc w:val="left"/>
        <w:rPr>
          <w:rFonts w:ascii="Times New Roman" w:hAnsi="Times New Roman"/>
          <w:sz w:val="20"/>
        </w:rPr>
      </w:pPr>
      <w:r>
        <w:rPr>
          <w:rFonts w:ascii="Times New Roman" w:hAnsi="Times New Roman"/>
          <w:i/>
          <w:color w:val="000000"/>
          <w:sz w:val="20"/>
        </w:rPr>
        <w:t>Items Measured at Fair Value on a 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derivative financial instruments (see Note 13) and pension plan assets (see Note 10), the Company has no material financial assets and liabilities that are carried at fair value at December 31, 2023 and 2022. In determining fair value, the Company utilizes valuation techniques that maximize the use of observable inputs and minimize the use of unobservable inputs to the extent possible and also considers counterparty credit risk in its assessment of fair value.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Measured at Fair Value on a Nonrecurring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non-recurring basis. As these nonrecurring fair value measurements are generally determined using unobservable inputs, these fair value measurements are classified within Level 3 of the fair value hierarchy. The Company utilized a third-party to assist in the Level 3 fair value estimates of other intangible assets, property and equipment, and inventory for recent acquisitions (see Note 4) and goodwill of the Medical reporting unit (see Note 7). The estimated fair values of these assets were based on third-party valuations and management’s estimates, generally utilizing income and market approaches. As of December 31, 2023, and December 31, 2022, there were no other significant assets or liabilities measured at fair value on a non-recurring basis.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Not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valuation technique to measure the fair values of its debt instruments by converting amounts of future cash flows to a single present value amount using rates based on current market expectations (Level 2 inputs). As of December 31, 2023, and 2022, the carrying values of the indebtedness under the Company’s Credit Agreement were not materially different than their estimated fair values because the interest rates on variable rate debt approximated rates currently available to the Company (see Note 9). The carrying amounts of financial instruments comprising cash and cash equivalents, short-term investments, accounts receivable, notes receivable and accounts payable approximate fair value because of the short maturities of these instruments. </w:t>
      </w:r>
    </w:p>
    <w:p>
      <w:pPr>
        <w:pStyle w:val="TextBody"/>
        <w:bidi w:val="0"/>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Equity</w:t>
      </w:r>
    </w:p>
    <w:p>
      <w:pPr>
        <w:pStyle w:val="TextBody"/>
        <w:bidi w:val="0"/>
        <w:spacing w:before="240" w:after="283"/>
        <w:jc w:val="left"/>
        <w:rPr>
          <w:rFonts w:ascii="Times New Roman" w:hAnsi="Times New Roman"/>
          <w:sz w:val="20"/>
        </w:rPr>
      </w:pPr>
      <w:r>
        <w:rPr>
          <w:rFonts w:ascii="Times New Roman" w:hAnsi="Times New Roman"/>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authorized to issue up to 59,991,000 shares, of which 55,000,000 shares shall be Common Stock, without par value, and 4,991,000 shall be Preferred Stock, without par value. As of December 31, 2023, an aggregate of 31,542,001 shares of its Common Stock were issued and outstanding. As of December 31, 2023, there are no preferred stock shares issued or outstanding. The Common Stock is listed on the Nasdaq Global Select Market under the symbol, “THRM”, and has the following rights and privileges: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sz w:val="24"/>
        </w:rPr>
      </w:pPr>
      <w:r>
        <w:rPr>
          <w:rFonts w:ascii="Times New Roman" w:hAnsi="Times New Roman"/>
          <w:i/>
          <w:color w:val="000000"/>
          <w:sz w:val="20"/>
        </w:rPr>
        <w:t xml:space="preserve">Voting rights. </w:t>
      </w:r>
      <w:r>
        <w:rPr>
          <w:rFonts w:ascii="Times New Roman" w:hAnsi="Times New Roman"/>
          <w:color w:val="000000"/>
          <w:sz w:val="20"/>
        </w:rPr>
        <w:t>All shares of the Common Stock have identical rights and privileges. With limited exceptions, holders of common stock are entitled to one vote for each outstanding share of Common Stock held of record by each shareholder on all matters properly submitted for the vote of the Company’s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i/>
          <w:color w:val="000000"/>
          <w:sz w:val="20"/>
        </w:rPr>
        <w:t>Dividend rights</w:t>
      </w:r>
      <w:r>
        <w:rPr>
          <w:rFonts w:ascii="Times New Roman" w:hAnsi="Times New Roman"/>
          <w:color w:val="000000"/>
          <w:sz w:val="20"/>
        </w:rPr>
        <w:t>. Subject to applicable law, any contractual restrictions and the rights of the holders of outstanding preferred stock, if any, holders of Common Stock are entitled to receive ratably such dividends and other distributions that the Company’s Board of Directors, in its discretion, declares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i/>
          <w:color w:val="000000"/>
          <w:sz w:val="20"/>
        </w:rPr>
        <w:t>Liquidation rights</w:t>
      </w:r>
      <w:r>
        <w:rPr>
          <w:rFonts w:ascii="Times New Roman" w:hAnsi="Times New Roman"/>
          <w:color w:val="000000"/>
          <w:sz w:val="20"/>
        </w:rPr>
        <w:t>. Upon the dissolution, liquidation or winding up of the Company, subject to the rights of the holders of outstanding preferred stock, if any, holders of Common Stock are entitled to receive ratably the assets of the Company available for distribution to the Company’s shareholders in proportion to the number of shares of Common Stock held by each shareholder.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i/>
          <w:color w:val="000000"/>
          <w:sz w:val="20"/>
        </w:rPr>
        <w:t>Conversion, Redemption and Preemptive Rights</w:t>
      </w:r>
      <w:r>
        <w:rPr>
          <w:rFonts w:ascii="Times New Roman" w:hAnsi="Times New Roman"/>
          <w:color w:val="000000"/>
          <w:sz w:val="20"/>
        </w:rPr>
        <w:t>. Holders of Common Stock have no conversion, redemption, sinking fund, preemptive, subscription or similar rights.</w:t>
      </w:r>
    </w:p>
    <w:p>
      <w:pPr>
        <w:pStyle w:val="TextBody"/>
        <w:bidi w:val="0"/>
        <w:spacing w:before="240" w:after="283"/>
        <w:jc w:val="left"/>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the Board of Directors of Gentherm Incorporated (“Board of Directors”) authorized a stock repurchase program (the “2020 Stock Repurchase Program”) to commence upon expiration of the prior stock repurchase program on December 15, 2020. Under the 2020 Stock Repurchase Program, the Company is authorized to repurchase up to $150,000 of its issued and outstanding Common Stock over a three-year period, expiring December 15, 2023. On November 1, 2023, the Board of Directors extended the maturity date of the program from December 15, 2023 to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Repurchases may be made, from time to time, in amounts and at prices the Company deems appropriate, subject to market conditions, applicable legal requirements, debt covenants and other considerations. Any such repurchases may be executed using open market purchases, privately negotiated agreements or other transactions. Repurchases may be funded from cash on hand, available borrowings or proceeds from potential debt or other capital markets sources. During the year ended December 31, 2023, the Company repurchased shares under the 2020 Stock Repurchase Program for $92,510 and have a remaining repurchase authorization of $37,491 as of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 2023, following the above-noted extension, the Company entered into a Confirmation of Issuer Forward Repurchase Transaction agreement (the “ASR Agreement”) with Bank of America, N.A. (“Bank of America”) that provides for the Company to purchase shares of Common Stock in an aggregate amount of $60,000 (the “ASR Repurchase Amount”) under the 2020 Stock Repurchase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ASR Agreement, on November 2, 2023, the Company paid $60,000 to Bank of America for an initial purchase of approximately 1.22 million shares of Common Stock, representing 80% of ASR Repurchase Amount. The final settlement date is scheduled to occur no later than the second quarter of 2024 and may end earlier at the option of Bank of America. As of the final settlement date, Bank of America may be required to deliver additional shares of Common Stock to the Company or the Company may be required to deliver shares of Common Stock to Bank America, such that the Company’s repurchase of Common Stock under the ASR Agreement in aggregate will equal the ASR Repurchase Amount (based on the average of the daily volume-weighted average prices of the Common Stock during the term of the ASR Agreement, less a specified discount). There is no cash requirement as of the final settlement date.</w:t>
      </w:r>
    </w:p>
    <w:p>
      <w:pPr>
        <w:pStyle w:val="TextBody"/>
        <w:bidi w:val="0"/>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ASR Agreement contains provisions customary for agreements of this type, including the mechanisms to determine the number of shares of Common Stock that will be delivered at settlement, the required timing of delivery of the shares of Common Stock, the circumstances under which Bank of America is permitted to make adjustments to the transaction terms, the circumstances under which the ASR Agreement may be accelerated, extended or terminated early by Bank of America and specified representations and warranties of each party to the other party.</w:t>
      </w:r>
    </w:p>
    <w:p>
      <w:pPr>
        <w:pStyle w:val="TextBody"/>
        <w:bidi w:val="0"/>
        <w:spacing w:before="360" w:after="283"/>
        <w:jc w:val="left"/>
        <w:rPr>
          <w:rFonts w:ascii="Times New Roman" w:hAnsi="Times New Roman"/>
          <w:sz w:val="20"/>
        </w:rPr>
      </w:pPr>
      <w:r>
        <w:rPr>
          <w:rFonts w:ascii="Times New Roman" w:hAnsi="Times New Roman"/>
          <w:color w:val="000000"/>
          <w:sz w:val="20"/>
        </w:rPr>
        <w:t>N</w:t>
      </w:r>
      <w:r>
        <w:rPr>
          <w:rFonts w:ascii="Times New Roman" w:hAnsi="Times New Roman"/>
          <w:b/>
          <w:color w:val="000000"/>
          <w:sz w:val="20"/>
        </w:rPr>
        <w:t>ote 16 – Reclassifications Out of Accumulated Other Comprehensive Loss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Reclassification adjustments and other activities impacting accumulated other comprehensive income (loss) during the years ended December 31, 2023, 2022 and 2021 are as follows: </w:t>
      </w:r>
    </w:p>
    <w:tbl>
      <w:tblPr>
        <w:tblW w:w="10205" w:type="dxa"/>
        <w:jc w:val="left"/>
        <w:tblInd w:w="0" w:type="dxa"/>
        <w:tblLayout w:type="fixed"/>
        <w:tblCellMar>
          <w:top w:w="28" w:type="dxa"/>
          <w:left w:w="28" w:type="dxa"/>
          <w:bottom w:w="28" w:type="dxa"/>
          <w:right w:w="28" w:type="dxa"/>
        </w:tblCellMar>
      </w:tblPr>
      <w:tblGrid>
        <w:gridCol w:w="3094"/>
        <w:gridCol w:w="146"/>
        <w:gridCol w:w="211"/>
        <w:gridCol w:w="631"/>
        <w:gridCol w:w="166"/>
        <w:gridCol w:w="146"/>
        <w:gridCol w:w="247"/>
        <w:gridCol w:w="864"/>
        <w:gridCol w:w="166"/>
        <w:gridCol w:w="146"/>
        <w:gridCol w:w="534"/>
        <w:gridCol w:w="879"/>
        <w:gridCol w:w="146"/>
        <w:gridCol w:w="146"/>
        <w:gridCol w:w="228"/>
        <w:gridCol w:w="733"/>
        <w:gridCol w:w="166"/>
        <w:gridCol w:w="196"/>
        <w:gridCol w:w="211"/>
        <w:gridCol w:w="736"/>
        <w:gridCol w:w="413"/>
      </w:tblGrid>
      <w:tr>
        <w:trPr/>
        <w:tc>
          <w:tcPr>
            <w:tcW w:w="3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0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Commodity Hedge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Hedge</w:t>
              <w:b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0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effect of other comprehensive income before reclassifications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(9,580</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current period other comprehensive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color w:val="000000"/>
          <w:sz w:val="16"/>
        </w:rPr>
      </w:pPr>
      <w:r>
        <w:rPr>
          <w:rFonts w:ascii="Times New Roman" w:hAnsi="Times New Roman"/>
          <w:color w:val="000000"/>
          <w:sz w:val="16"/>
        </w:rPr>
        <w:t>The amounts reclassified from Accumulated other comprehensive loss are included in Cost of sales. See Note 13 for information related to the effect of commodity and foreign currency derivative instruments on our consolidated statements of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9"/>
        <w:gridCol w:w="146"/>
        <w:gridCol w:w="211"/>
        <w:gridCol w:w="631"/>
        <w:gridCol w:w="166"/>
        <w:gridCol w:w="146"/>
        <w:gridCol w:w="247"/>
        <w:gridCol w:w="864"/>
        <w:gridCol w:w="166"/>
        <w:gridCol w:w="146"/>
        <w:gridCol w:w="503"/>
        <w:gridCol w:w="896"/>
        <w:gridCol w:w="166"/>
        <w:gridCol w:w="196"/>
        <w:gridCol w:w="240"/>
        <w:gridCol w:w="721"/>
        <w:gridCol w:w="166"/>
        <w:gridCol w:w="196"/>
        <w:gridCol w:w="211"/>
        <w:gridCol w:w="736"/>
        <w:gridCol w:w="412"/>
      </w:tblGrid>
      <w:tr>
        <w:trPr/>
        <w:tc>
          <w:tcPr>
            <w:tcW w:w="3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0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Commodity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Hedge</w:t>
              <w:b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effect of other comprehensive income (loss) before reclassifications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03"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w:t>
            </w:r>
          </w:p>
        </w:tc>
        <w:tc>
          <w:tcPr>
            <w:tcW w:w="240"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41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(46,489</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color w:val="000000"/>
          <w:sz w:val="16"/>
        </w:rPr>
      </w:pPr>
      <w:r>
        <w:rPr>
          <w:rFonts w:ascii="Times New Roman" w:hAnsi="Times New Roman"/>
          <w:color w:val="000000"/>
          <w:sz w:val="16"/>
        </w:rPr>
        <w:t>The amounts reclassified from Accumulated other comprehensive loss are included in Cost of sales. See Note 13 for information related to the effect of commodity and foreign currency derivative instruments on our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8"/>
        <w:gridCol w:w="146"/>
        <w:gridCol w:w="235"/>
        <w:gridCol w:w="705"/>
        <w:gridCol w:w="166"/>
        <w:gridCol w:w="146"/>
        <w:gridCol w:w="264"/>
        <w:gridCol w:w="926"/>
        <w:gridCol w:w="166"/>
        <w:gridCol w:w="146"/>
        <w:gridCol w:w="480"/>
        <w:gridCol w:w="857"/>
        <w:gridCol w:w="166"/>
        <w:gridCol w:w="196"/>
        <w:gridCol w:w="268"/>
        <w:gridCol w:w="806"/>
        <w:gridCol w:w="166"/>
        <w:gridCol w:w="196"/>
        <w:gridCol w:w="211"/>
        <w:gridCol w:w="736"/>
        <w:gridCol w:w="415"/>
      </w:tblGrid>
      <w:tr>
        <w:trPr/>
        <w:tc>
          <w:tcPr>
            <w:tcW w:w="2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8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Defined Benefit</w:t>
              <w:br/>
              <w:t>Pension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Foreign Currency</w:t>
              <w:br/>
              <w:t xml:space="preserve">Translation </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Commodity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Foreign Currency</w:t>
              <w:br/>
              <w:t>Hedge</w:t>
              <w:b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2020</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(14,982</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effect of other comprehensive income (loss) before reclassifications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income</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w:t>
            </w:r>
          </w:p>
        </w:tc>
        <w:tc>
          <w:tcPr>
            <w:tcW w:w="268"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(36,922</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jc w:val="left"/>
        <w:rPr>
          <w:rFonts w:ascii="Times New Roman" w:hAnsi="Times New Roman"/>
          <w:sz w:val="24"/>
        </w:rPr>
      </w:pPr>
      <w:r>
        <w:rPr>
          <w:rFonts w:ascii="Times New Roman" w:hAnsi="Times New Roman"/>
          <w:color w:val="000000"/>
          <w:sz w:val="16"/>
        </w:rPr>
        <w:t>The amounts reclassified from Accumulated other comprehensive loss</w:t>
      </w:r>
      <w:r>
        <w:rPr>
          <w:rFonts w:ascii="Times New Roman" w:hAnsi="Times New Roman"/>
          <w:color w:val="000000"/>
          <w:sz w:val="24"/>
        </w:rPr>
        <w:t xml:space="preserve"> </w:t>
      </w:r>
      <w:r>
        <w:rPr>
          <w:rFonts w:ascii="Times New Roman" w:hAnsi="Times New Roman"/>
          <w:color w:val="000000"/>
          <w:sz w:val="16"/>
        </w:rPr>
        <w:t>are included in Cost of sales. See Note 13 for information related to the effect of commodity and foreign currency derivative instruments on our consolidated statements of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all of the existing gains and losses related to foreign currency derivatives reported in Accumulated other comprehensive loss as of December 31, 2023 to be reclassified into earnings during the next twelve months. See Note 13, "Financial Instruments," for additional information about derivative financial instruments and the effects from reclassification to net income.</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17 </w:t>
      </w:r>
      <w:r>
        <w:rPr>
          <w:rFonts w:ascii="Times New Roman" w:hAnsi="Times New Roman"/>
          <w:color w:val="000000"/>
          <w:sz w:val="20"/>
        </w:rPr>
        <w:t xml:space="preserve">— </w:t>
      </w:r>
      <w:r>
        <w:rPr>
          <w:rFonts w:ascii="Times New Roman" w:hAnsi="Times New Roman"/>
          <w:b/>
          <w:color w:val="000000"/>
          <w:sz w:val="20"/>
        </w:rPr>
        <w:t>Accounting for 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2023 the Company’s shareholders approved the Gentherm Incorporated 2023 Equity Incentive Plan (the “2023 Equity Plan”), covering 3,730,000 shares of the Common Stock, plus the number of shares of Common Stock that, as of the effective date of the 2023 Equity Plan, that were subject to awards granted under the Gentherm Incorporated 2013 Equity Incentive Plan (the “2013 Equity Plan”) and that, on or after the effective date of the 2023 Equity Plan, were forfeited, surrendered, terminated (other than by exercise), cancelled, lapsed or reacquired by the Company prior to vesting, without the delivery of any shares of Common Stock, and otherwise comply with the recycling provisions of the 2013 Equity Plan and 2023 Equity Plan. The 2023 Equity Plan permits the granting of various awards including stock options (including both nonqualified stock options and incentive stock options), stock appreciation rights ("SARs"), restricted stock, restricted stock units ("RSUs"), performance stock units (including performance-based RSUs under the 2013 Equity Plan, "PSUs") and performance units, and other awards to employees, outside directors and consultants and advisors of the Company. As of December 31, 2023, the Company had an aggregate of 3,683,330 shares of Common Stock available to issue under the 2023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16, 2013, the Compensation Committee of the Company’s Board of Directors (the “Board”) approved the 2013 Equity Plan. The 2013 Equity Plan permitted the granting of various awards including stock options (including both nonqualified options and incentive options), SARs, restricted stock, RSUs, PSUs and certain other awards to employees, outside directors and consultants and advisors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three-year period ended December 31, 2023, the Company has outstanding stock options, SARs, restricted stock awards and RSUs to employees, directors and consultants. These awards become available to the recipient upon the satisfaction of a vesting condition, either based on a period of service or based on the performance of a specific achievement. For equity-based awards with a service condition, the requisite service period typically ranges between two to four years for employees and consultants and one year for directors. As of December 31, 2023, there were 324,977 PSUs outstanding. These awards cliff vest after three-years based on the Company’s achievement of one of four separate performance metrics: a target return on invested capital ratio (“ROIC”), as defined in the award agreement, for a specified fiscal year; a target three-year cumulative Adjusted EBITDA (“Adjusted EBITDA”), as defined in the award agreement; the Company’s relative total shareholder return (“TSR”), as defined in the award agreement, during a specific three-year measurement period; and a target relative revenue growth relative to light vehicle production in the Company's relevant markets ("RRG"), as defined in the award agreement, during a specific three-year measurement period. In each case, awards </w:t>
      </w:r>
    </w:p>
    <w:p>
      <w:pPr>
        <w:pStyle w:val="TextBody"/>
        <w:bidi w:val="0"/>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be earned at 50% of the target number of shares for achieving a minimum threshold or up to 200% of the target number of shares for exceeding the target, with a linear adjustment between threshold and target or between target and stretch performance goals. All other outstanding, unvested equity-based awards were service based. Equity-based award vesting may be accelerated at the discretion of the Board under conditions specified in the 2023 Equity Plan and the 2013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FASB ASC Topic 718, the provisions of the PSUs that vest upon the achievement of relative TSR are considered a market condition, and therefore the effect of that market condition is reflected in the grant date fair value for this portion award. A third party was engaged to complete a Monte Carlo simulation to account for the market condition. That simulation takes into account the beginning stock price of our Common Stock, the expected volatilities for the relative TSR comparator group, the expected volatilities for the Company’s stock price, correlation coefficients, the expected risk-free rate of return and the expected dividend yield of the Company and the comparator group. The single grant-date fair value computed by this valuation method is recognized by the Company in accounting for the awards regardless of the actual future outcome of the relative TSR feature. The grant date fair value of the other PSUs and RSUs are calculated as the closing price of our Common Stock as quoted on Nasdaq on the grant date multiplied by the number of shares subject to the award. Each of ROIC, Adjusted EBITDA and RRG are considered a performance condition and the grant-date fair value for ROIC PSUs, Adjusted EBITDA PSUs and RRG PSUs correspond with management's expectation of the probable outcome of the performance condition as of the grant date.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total recognized and unrecognized stock-based compensation expense is as follows: </w:t>
      </w:r>
    </w:p>
    <w:tbl>
      <w:tblPr>
        <w:tblW w:w="10205" w:type="dxa"/>
        <w:jc w:val="left"/>
        <w:tblInd w:w="0" w:type="dxa"/>
        <w:tblLayout w:type="fixed"/>
        <w:tblCellMar>
          <w:top w:w="28" w:type="dxa"/>
          <w:left w:w="28" w:type="dxa"/>
          <w:bottom w:w="28" w:type="dxa"/>
          <w:right w:w="28" w:type="dxa"/>
        </w:tblCellMar>
      </w:tblPr>
      <w:tblGrid>
        <w:gridCol w:w="1796"/>
        <w:gridCol w:w="146"/>
        <w:gridCol w:w="211"/>
        <w:gridCol w:w="676"/>
        <w:gridCol w:w="166"/>
        <w:gridCol w:w="146"/>
        <w:gridCol w:w="211"/>
        <w:gridCol w:w="571"/>
        <w:gridCol w:w="166"/>
        <w:gridCol w:w="146"/>
        <w:gridCol w:w="211"/>
        <w:gridCol w:w="676"/>
        <w:gridCol w:w="146"/>
        <w:gridCol w:w="146"/>
        <w:gridCol w:w="610"/>
        <w:gridCol w:w="1962"/>
        <w:gridCol w:w="146"/>
        <w:gridCol w:w="146"/>
        <w:gridCol w:w="412"/>
        <w:gridCol w:w="1321"/>
        <w:gridCol w:w="194"/>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Stock-Based Compensation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Unrecognized Stock-Based Compensation Expense at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 Weighted Average Vesting Period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94"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4"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left"/>
              <w:rPr/>
            </w:pPr>
            <w:r>
              <w:rPr/>
              <w:t> </w:t>
            </w:r>
          </w:p>
        </w:tc>
        <w:tc>
          <w:tcPr>
            <w:tcW w:w="1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94"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19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related deferred tax benefit (expense) for the years ended December 31, 2023, 2022 and 2021 was $1,794, $(444), and $2,725, respectively. If Gentherm were to realize expired share-based payment arrangements, they would be reported as a forfeit in the activity roll forward tables below.</w:t>
      </w:r>
    </w:p>
    <w:p>
      <w:pPr>
        <w:pStyle w:val="TextBody"/>
        <w:bidi w:val="0"/>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RSU activity during the years ended December 31, 2023, 2022 and 2021:</w:t>
      </w:r>
    </w:p>
    <w:tbl>
      <w:tblPr>
        <w:tblW w:w="6291" w:type="dxa"/>
        <w:jc w:val="left"/>
        <w:tblInd w:w="0" w:type="dxa"/>
        <w:tblLayout w:type="fixed"/>
        <w:tblCellMar>
          <w:top w:w="28" w:type="dxa"/>
          <w:left w:w="28" w:type="dxa"/>
          <w:bottom w:w="28" w:type="dxa"/>
          <w:right w:w="28" w:type="dxa"/>
        </w:tblCellMar>
      </w:tblPr>
      <w:tblGrid>
        <w:gridCol w:w="2941"/>
        <w:gridCol w:w="146"/>
        <w:gridCol w:w="184"/>
        <w:gridCol w:w="986"/>
        <w:gridCol w:w="166"/>
        <w:gridCol w:w="146"/>
        <w:gridCol w:w="413"/>
        <w:gridCol w:w="1118"/>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Unvested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Time Vesting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2020</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64.27</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intrinsic value of RSUs vested during the years ended December 31, 2023, 2022 and 2021 was $4,915, $4,774 and $3,398,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PSU activity during the years ended December 31, 2023, 2022 and 2021:</w:t>
      </w:r>
    </w:p>
    <w:tbl>
      <w:tblPr>
        <w:tblW w:w="13878" w:type="dxa"/>
        <w:jc w:val="left"/>
        <w:tblInd w:w="0" w:type="dxa"/>
        <w:tblLayout w:type="fixed"/>
        <w:tblCellMar>
          <w:top w:w="28" w:type="dxa"/>
          <w:left w:w="28" w:type="dxa"/>
          <w:bottom w:w="28" w:type="dxa"/>
          <w:right w:w="28" w:type="dxa"/>
        </w:tblCellMar>
      </w:tblPr>
      <w:tblGrid>
        <w:gridCol w:w="1066"/>
        <w:gridCol w:w="146"/>
        <w:gridCol w:w="146"/>
        <w:gridCol w:w="691"/>
        <w:gridCol w:w="166"/>
        <w:gridCol w:w="146"/>
        <w:gridCol w:w="361"/>
        <w:gridCol w:w="1110"/>
        <w:gridCol w:w="146"/>
        <w:gridCol w:w="146"/>
        <w:gridCol w:w="146"/>
        <w:gridCol w:w="691"/>
        <w:gridCol w:w="166"/>
        <w:gridCol w:w="146"/>
        <w:gridCol w:w="407"/>
        <w:gridCol w:w="1064"/>
        <w:gridCol w:w="146"/>
        <w:gridCol w:w="146"/>
        <w:gridCol w:w="146"/>
        <w:gridCol w:w="691"/>
        <w:gridCol w:w="166"/>
        <w:gridCol w:w="146"/>
        <w:gridCol w:w="407"/>
        <w:gridCol w:w="1064"/>
        <w:gridCol w:w="146"/>
        <w:gridCol w:w="146"/>
        <w:gridCol w:w="146"/>
        <w:gridCol w:w="601"/>
        <w:gridCol w:w="166"/>
        <w:gridCol w:w="146"/>
        <w:gridCol w:w="407"/>
        <w:gridCol w:w="1064"/>
        <w:gridCol w:w="146"/>
        <w:gridCol w:w="146"/>
        <w:gridCol w:w="146"/>
        <w:gridCol w:w="751"/>
        <w:gridCol w:w="21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Unvested Performance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 TSR Target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ROIC Target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 Target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RRG Target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315,834</w:t>
            </w:r>
          </w:p>
        </w:tc>
        <w:tc>
          <w:tcPr>
            <w:tcW w:w="21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101,136</w:t>
            </w:r>
          </w:p>
        </w:tc>
        <w:tc>
          <w:tcPr>
            <w:tcW w:w="21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Performance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(61,656</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319,336</w:t>
            </w:r>
          </w:p>
        </w:tc>
        <w:tc>
          <w:tcPr>
            <w:tcW w:w="21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106,604</w:t>
            </w:r>
          </w:p>
        </w:tc>
        <w:tc>
          <w:tcPr>
            <w:tcW w:w="21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Performance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42,746</w:t>
            </w:r>
          </w:p>
        </w:tc>
        <w:tc>
          <w:tcPr>
            <w:tcW w:w="21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(133,477</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320,449</w:t>
            </w:r>
          </w:p>
        </w:tc>
        <w:tc>
          <w:tcPr>
            <w:tcW w:w="21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153,121</w:t>
            </w:r>
          </w:p>
        </w:tc>
        <w:tc>
          <w:tcPr>
            <w:tcW w:w="21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Performance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(59,928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(59,928</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(59,928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(59,928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324,977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intrinsic value of PSUs vested during the years ended December 31, 2023, 2022 and 2021 was $2,951, $6,986 and $4,265, respectively.</w:t>
      </w:r>
    </w:p>
    <w:p>
      <w:pPr>
        <w:pStyle w:val="TextBody"/>
        <w:bidi w:val="0"/>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restricted stock activity during the years ended December 31, 2023, 2022 and 2021: </w:t>
      </w:r>
    </w:p>
    <w:tbl>
      <w:tblPr>
        <w:tblW w:w="6003"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413"/>
        <w:gridCol w:w="1118"/>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Unvested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 xml:space="preserve">Grant Date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91" w:type="dxa"/>
            <w:tcBorders/>
            <w:shd w:fill="FFFFFF" w:val="cle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cost associated with restricted stock is estimated on the date of grant using quoted market prices (Level 1 input). The total fair value of restricted stock vested in 2023, 2022 and 2021 was $875, $800 and $1,554,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SARs activity during the years ended December 31, 2023, 2022 and 2021: </w:t>
      </w:r>
    </w:p>
    <w:tbl>
      <w:tblPr>
        <w:tblW w:w="9483" w:type="dxa"/>
        <w:jc w:val="left"/>
        <w:tblInd w:w="0" w:type="dxa"/>
        <w:tblLayout w:type="fixed"/>
        <w:tblCellMar>
          <w:top w:w="28" w:type="dxa"/>
          <w:left w:w="28" w:type="dxa"/>
          <w:bottom w:w="28" w:type="dxa"/>
          <w:right w:w="28" w:type="dxa"/>
        </w:tblCellMar>
      </w:tblPr>
      <w:tblGrid>
        <w:gridCol w:w="2941"/>
        <w:gridCol w:w="146"/>
        <w:gridCol w:w="146"/>
        <w:gridCol w:w="841"/>
        <w:gridCol w:w="166"/>
        <w:gridCol w:w="146"/>
        <w:gridCol w:w="413"/>
        <w:gridCol w:w="1118"/>
        <w:gridCol w:w="146"/>
        <w:gridCol w:w="146"/>
        <w:gridCol w:w="365"/>
        <w:gridCol w:w="1166"/>
        <w:gridCol w:w="146"/>
        <w:gridCol w:w="146"/>
        <w:gridCol w:w="340"/>
        <w:gridCol w:w="920"/>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 Appreciation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SARs granted since the year ended December 31, 2017 and all SARs are currently vested. The total intrinsic value of SARs exercised during the years ended December 31, 2023, 2022 and 2021 was $242, $1,348 and $4,301,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stock option activity during the years ended December 31, 2023, 2022 and 2021: </w:t>
      </w:r>
    </w:p>
    <w:tbl>
      <w:tblPr>
        <w:tblW w:w="9483" w:type="dxa"/>
        <w:jc w:val="left"/>
        <w:tblInd w:w="0" w:type="dxa"/>
        <w:tblLayout w:type="fixed"/>
        <w:tblCellMar>
          <w:top w:w="28" w:type="dxa"/>
          <w:left w:w="28" w:type="dxa"/>
          <w:bottom w:w="28" w:type="dxa"/>
          <w:right w:w="28" w:type="dxa"/>
        </w:tblCellMar>
      </w:tblPr>
      <w:tblGrid>
        <w:gridCol w:w="2941"/>
        <w:gridCol w:w="146"/>
        <w:gridCol w:w="146"/>
        <w:gridCol w:w="841"/>
        <w:gridCol w:w="166"/>
        <w:gridCol w:w="146"/>
        <w:gridCol w:w="413"/>
        <w:gridCol w:w="1118"/>
        <w:gridCol w:w="146"/>
        <w:gridCol w:w="146"/>
        <w:gridCol w:w="365"/>
        <w:gridCol w:w="1166"/>
        <w:gridCol w:w="146"/>
        <w:gridCol w:w="146"/>
        <w:gridCol w:w="299"/>
        <w:gridCol w:w="96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91" w:type="dxa"/>
            <w:tcBorders/>
            <w:shd w:fill="CFF0FC" w:val="cle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stock options granted since the year ended December 31, 2017 and all stock options are currently vested. The total intrinsic value of stock options exercised during the years ended December 31, 2023, 2022 and 2021 was $201, $1,582 and $8,269,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18 </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income tax provisions were calculated based upon the following components of earnings before income tax for the years ended December 31, 2023, 2022 and 2021: </w:t>
      </w:r>
    </w:p>
    <w:tbl>
      <w:tblPr>
        <w:tblW w:w="6948" w:type="dxa"/>
        <w:jc w:val="left"/>
        <w:tblInd w:w="0" w:type="dxa"/>
        <w:tblLayout w:type="fixed"/>
        <w:tblCellMar>
          <w:top w:w="28" w:type="dxa"/>
          <w:left w:w="28" w:type="dxa"/>
          <w:bottom w:w="28" w:type="dxa"/>
          <w:right w:w="28" w:type="dxa"/>
        </w:tblCellMar>
      </w:tblPr>
      <w:tblGrid>
        <w:gridCol w:w="2881"/>
        <w:gridCol w:w="146"/>
        <w:gridCol w:w="211"/>
        <w:gridCol w:w="736"/>
        <w:gridCol w:w="166"/>
        <w:gridCol w:w="146"/>
        <w:gridCol w:w="211"/>
        <w:gridCol w:w="736"/>
        <w:gridCol w:w="166"/>
        <w:gridCol w:w="146"/>
        <w:gridCol w:w="211"/>
        <w:gridCol w:w="781"/>
        <w:gridCol w:w="4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before income tax:</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8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113,852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components of the provision for income taxes for the years ended December 31, 2023, 2022 and 2021 are summarized as follows:</w:t>
      </w:r>
    </w:p>
    <w:tbl>
      <w:tblPr>
        <w:tblW w:w="8348" w:type="dxa"/>
        <w:jc w:val="left"/>
        <w:tblInd w:w="0" w:type="dxa"/>
        <w:tblLayout w:type="fixed"/>
        <w:tblCellMar>
          <w:top w:w="28" w:type="dxa"/>
          <w:left w:w="28" w:type="dxa"/>
          <w:bottom w:w="28" w:type="dxa"/>
          <w:right w:w="28" w:type="dxa"/>
        </w:tblCellMar>
      </w:tblPr>
      <w:tblGrid>
        <w:gridCol w:w="4046"/>
        <w:gridCol w:w="146"/>
        <w:gridCol w:w="211"/>
        <w:gridCol w:w="736"/>
        <w:gridCol w:w="166"/>
        <w:gridCol w:w="146"/>
        <w:gridCol w:w="211"/>
        <w:gridCol w:w="676"/>
        <w:gridCol w:w="166"/>
        <w:gridCol w:w="146"/>
        <w:gridCol w:w="211"/>
        <w:gridCol w:w="676"/>
        <w:gridCol w:w="811"/>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4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(benefit) expense: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(benefit)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04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deferred U.S. income taxes have not been provided on the undistributed earnings of the Company’s foreign subsidiaries since these earnings will not be taxable upon repatriation to the United States. These earnings will be primarily treated as previously taxed income from either the one-time transition tax or global intangible low-taxed income provision, or they will be offset with a 100% dividend received deduction. However, the Company continues to provide a deferred tax liability for foreign income and withholding tax that will be incurred with respect to the undistributed foreign earnings that are not indefinitely reinvested.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deferred tax assets and deferred tax liabilities and related valuation allowance were comprised of the following as of December 31, 2023 and 2022: </w:t>
      </w:r>
    </w:p>
    <w:tbl>
      <w:tblPr>
        <w:tblW w:w="7079" w:type="dxa"/>
        <w:jc w:val="left"/>
        <w:tblInd w:w="0" w:type="dxa"/>
        <w:tblLayout w:type="fixed"/>
        <w:tblCellMar>
          <w:top w:w="28" w:type="dxa"/>
          <w:left w:w="28" w:type="dxa"/>
          <w:bottom w:w="28" w:type="dxa"/>
          <w:right w:w="28" w:type="dxa"/>
        </w:tblCellMar>
      </w:tblPr>
      <w:tblGrid>
        <w:gridCol w:w="4026"/>
        <w:gridCol w:w="146"/>
        <w:gridCol w:w="211"/>
        <w:gridCol w:w="781"/>
        <w:gridCol w:w="166"/>
        <w:gridCol w:w="146"/>
        <w:gridCol w:w="211"/>
        <w:gridCol w:w="781"/>
        <w:gridCol w:w="61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ind w:left="0" w:right="0" w:firstLine="200"/>
              <w:jc w:val="center"/>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reserves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Defined benefit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(36,671</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foreign currency exchange gains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Undistributed profits of subsidiary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(15,423</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Reconciliations between the statutory Federal income tax rate and the effective rate of income tax expense for the years ended December 31, 2023, 2022 and 2021 are as follows:</w:t>
      </w:r>
    </w:p>
    <w:tbl>
      <w:tblPr>
        <w:tblW w:w="7943" w:type="dxa"/>
        <w:jc w:val="left"/>
        <w:tblInd w:w="0" w:type="dxa"/>
        <w:tblLayout w:type="fixed"/>
        <w:tblCellMar>
          <w:top w:w="28" w:type="dxa"/>
          <w:left w:w="28" w:type="dxa"/>
          <w:bottom w:w="28" w:type="dxa"/>
          <w:right w:w="28" w:type="dxa"/>
        </w:tblCellMar>
      </w:tblPr>
      <w:tblGrid>
        <w:gridCol w:w="4371"/>
        <w:gridCol w:w="146"/>
        <w:gridCol w:w="146"/>
        <w:gridCol w:w="466"/>
        <w:gridCol w:w="331"/>
        <w:gridCol w:w="146"/>
        <w:gridCol w:w="146"/>
        <w:gridCol w:w="526"/>
        <w:gridCol w:w="331"/>
        <w:gridCol w:w="146"/>
        <w:gridCol w:w="146"/>
        <w:gridCol w:w="466"/>
        <w:gridCol w:w="57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resulting from:</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different tax rates of foreign jurisdictions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credits &amp; deductions related to R&amp;D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576"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Non-deductible expenses related to acquisitions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576"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foreign, state and local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impact of foreign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Prior year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rate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Company has Net Operating Loss (“NOL”) carryforwards as follows: </w:t>
      </w:r>
    </w:p>
    <w:tbl>
      <w:tblPr>
        <w:tblW w:w="6560" w:type="dxa"/>
        <w:jc w:val="left"/>
        <w:tblInd w:w="0" w:type="dxa"/>
        <w:tblLayout w:type="fixed"/>
        <w:tblCellMar>
          <w:top w:w="28" w:type="dxa"/>
          <w:left w:w="28" w:type="dxa"/>
          <w:bottom w:w="28" w:type="dxa"/>
          <w:right w:w="28" w:type="dxa"/>
        </w:tblCellMar>
      </w:tblPr>
      <w:tblGrid>
        <w:gridCol w:w="1816"/>
        <w:gridCol w:w="146"/>
        <w:gridCol w:w="561"/>
        <w:gridCol w:w="2079"/>
        <w:gridCol w:w="146"/>
        <w:gridCol w:w="146"/>
        <w:gridCol w:w="166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of Expiration</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 income tax</w:t>
            </w:r>
          </w:p>
        </w:tc>
        <w:tc>
          <w:tcPr>
            <w:tcW w:w="146"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2024-2042</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Never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NOL carryforwards in various states associated with the benefits of the state dividends received reduction and foreign royalty exclusion. The state NOL carryforwards generally expire at various dates from 2024 to 2042. We have concluded that there is not sufficient evidence these NOL carryforwards will be utilized, and thus have not recognized the benefit of these NOL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2023, certain non-U.S. subsidiaries had NOL carryforwards totaling $296,334 which have no expiration date. The Company has a valuation allowance recorded against $16,413 of the total non-U.S. subsidiaries’ net operating loss carryforwards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taxation in the United States and various state and foreign jurisdictions. As of December 31, 2023, the Company was no longer subject to U.S. Federal examinations by tax authorities for tax years before 2020 and was no longer subject to foreign examinations by tax authorities for tax years before 2015.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benefits from tax holidays in various non-U.S. jurisdictions with expiration dates from 2024 – 2025. For the years ended December 31, 2023, 2022 and 2021, income in foreign jurisdictions with such holidays was $8,185, $2,414, and $4,721, respectively.</w:t>
      </w:r>
    </w:p>
    <w:p>
      <w:pPr>
        <w:pStyle w:val="TextBody"/>
        <w:bidi w:val="0"/>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December 31, 2023, 2022 and 2021, the Company had total unrecognized tax benefits of $5,486, $6,185 and $5,665, respectively, all of which, if recognized, would affect the effective income tax rates. The reconciliation of the beginning and ending amount of unrecognized tax benefits is as follows:</w:t>
      </w:r>
    </w:p>
    <w:tbl>
      <w:tblPr>
        <w:tblW w:w="8698" w:type="dxa"/>
        <w:jc w:val="left"/>
        <w:tblInd w:w="0" w:type="dxa"/>
        <w:tblLayout w:type="fixed"/>
        <w:tblCellMar>
          <w:top w:w="28" w:type="dxa"/>
          <w:left w:w="28" w:type="dxa"/>
          <w:bottom w:w="28" w:type="dxa"/>
          <w:right w:w="28" w:type="dxa"/>
        </w:tblCellMar>
      </w:tblPr>
      <w:tblGrid>
        <w:gridCol w:w="5311"/>
        <w:gridCol w:w="146"/>
        <w:gridCol w:w="211"/>
        <w:gridCol w:w="631"/>
        <w:gridCol w:w="166"/>
        <w:gridCol w:w="146"/>
        <w:gridCol w:w="211"/>
        <w:gridCol w:w="571"/>
        <w:gridCol w:w="166"/>
        <w:gridCol w:w="146"/>
        <w:gridCol w:w="211"/>
        <w:gridCol w:w="571"/>
        <w:gridCol w:w="2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4,967</w:t>
            </w:r>
          </w:p>
        </w:tc>
        <w:tc>
          <w:tcPr>
            <w:tcW w:w="21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 related to current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211" w:type="dxa"/>
            <w:tcBorders/>
            <w:shd w:fill="FFFFFF" w:val="cle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 related to prior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from settlements and statute of limitation expiration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classifies income tax-related penalties and net interest as income tax expense. In the years ended December 31, 2023, 2022 and 2021, income tax related interest and penalties were not material. It is reasonably possible that audit settlements, the conclusions of current examinations or the expiration of the statute of limitations in several jurisdictions could impact the Company’s unrecognized tax benefits.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19 </w:t>
      </w:r>
      <w:r>
        <w:rPr>
          <w:rFonts w:ascii="Times New Roman" w:hAnsi="Times New Roman"/>
          <w:color w:val="000000"/>
          <w:sz w:val="20"/>
        </w:rPr>
        <w:t xml:space="preserve">— </w:t>
      </w: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Segment information is used by management for making operating decisions for the Company. Management evaluates the performance of the Company’s segments based primarily on operating income or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segments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Automotive </w:t>
      </w:r>
      <w:r>
        <w:rPr>
          <w:rFonts w:ascii="Times New Roman" w:hAnsi="Times New Roman"/>
          <w:color w:val="000000"/>
          <w:sz w:val="20"/>
        </w:rPr>
        <w:t>— the design, development, manufacturing and sales of automotive climate comfort systems, automotive cable systems, battery performance solutions, lumbar and massage comfort solutions, valve systems, and automotive electronic and software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Medical </w:t>
      </w:r>
      <w:r>
        <w:rPr>
          <w:rFonts w:ascii="Times New Roman" w:hAnsi="Times New Roman"/>
          <w:color w:val="000000"/>
          <w:sz w:val="20"/>
        </w:rPr>
        <w:t xml:space="preserve">— this segment represents the results from our patient temperature management business within the medical industry.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i/>
          <w:color w:val="000000"/>
          <w:sz w:val="20"/>
        </w:rPr>
        <w:t xml:space="preserve">Corporate </w:t>
      </w:r>
      <w:r>
        <w:rPr>
          <w:rFonts w:ascii="Times New Roman" w:hAnsi="Times New Roman"/>
          <w:color w:val="000000"/>
          <w:sz w:val="20"/>
        </w:rPr>
        <w:t xml:space="preserve">category includes unallocated costs related to our corporate headquarter activities, including selling, general and administrative costs and acquisition transaction costs, which do not meet the requirements for being classified as an operating segment.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tables below present segment information about the reported product revenues and operating income of the Company for years ended December 31, 2023, 2022 and 2021. </w:t>
      </w:r>
    </w:p>
    <w:tbl>
      <w:tblPr>
        <w:tblW w:w="8427" w:type="dxa"/>
        <w:jc w:val="left"/>
        <w:tblInd w:w="0" w:type="dxa"/>
        <w:tblLayout w:type="fixed"/>
        <w:tblCellMar>
          <w:top w:w="28" w:type="dxa"/>
          <w:left w:w="28" w:type="dxa"/>
          <w:bottom w:w="28" w:type="dxa"/>
          <w:right w:w="28" w:type="dxa"/>
        </w:tblCellMar>
      </w:tblPr>
      <w:tblGrid>
        <w:gridCol w:w="2796"/>
        <w:gridCol w:w="146"/>
        <w:gridCol w:w="211"/>
        <w:gridCol w:w="931"/>
        <w:gridCol w:w="146"/>
        <w:gridCol w:w="146"/>
        <w:gridCol w:w="211"/>
        <w:gridCol w:w="736"/>
        <w:gridCol w:w="166"/>
        <w:gridCol w:w="146"/>
        <w:gridCol w:w="211"/>
        <w:gridCol w:w="736"/>
        <w:gridCol w:w="166"/>
        <w:gridCol w:w="146"/>
        <w:gridCol w:w="211"/>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Automotive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Medical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77,439</w:t>
            </w:r>
          </w:p>
        </w:tc>
        <w:tc>
          <w:tcPr>
            <w:tcW w:w="391" w:type="dxa"/>
            <w:tcBorders/>
            <w:shd w:fill="FFFFFF" w:val="clear"/>
            <w:vAlign w:val="center"/>
          </w:tcPr>
          <w:p>
            <w:pPr>
              <w:pStyle w:val="TableContents"/>
              <w:bidi w:val="0"/>
              <w:spacing w:before="0" w:after="283"/>
              <w:jc w:val="left"/>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48,307</w:t>
            </w:r>
          </w:p>
        </w:tc>
        <w:tc>
          <w:tcPr>
            <w:tcW w:w="391" w:type="dxa"/>
            <w:tcBorders/>
            <w:shd w:fill="FFFFFF" w:val="clear"/>
            <w:vAlign w:val="center"/>
          </w:tcPr>
          <w:p>
            <w:pPr>
              <w:pStyle w:val="TableContents"/>
              <w:bidi w:val="0"/>
              <w:spacing w:before="0" w:after="283"/>
              <w:jc w:val="left"/>
              <w:rPr/>
            </w:pPr>
            <w:r>
              <w:rPr/>
              <w:t> </w:t>
            </w:r>
          </w:p>
        </w:tc>
      </w:tr>
      <w:tr>
        <w:trPr/>
        <w:tc>
          <w:tcPr>
            <w:tcW w:w="2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115,006</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Automotive and Medical segment product revenues by product category for each of the years ended December 31, 2023, 2022 and 2021 are as follows: </w:t>
      </w:r>
    </w:p>
    <w:tbl>
      <w:tblPr>
        <w:tblW w:w="8333" w:type="dxa"/>
        <w:jc w:val="left"/>
        <w:tblInd w:w="0" w:type="dxa"/>
        <w:tblLayout w:type="fixed"/>
        <w:tblCellMar>
          <w:top w:w="28" w:type="dxa"/>
          <w:left w:w="28" w:type="dxa"/>
          <w:bottom w:w="28" w:type="dxa"/>
          <w:right w:w="28" w:type="dxa"/>
        </w:tblCellMar>
      </w:tblPr>
      <w:tblGrid>
        <w:gridCol w:w="3586"/>
        <w:gridCol w:w="146"/>
        <w:gridCol w:w="211"/>
        <w:gridCol w:w="931"/>
        <w:gridCol w:w="146"/>
        <w:gridCol w:w="146"/>
        <w:gridCol w:w="211"/>
        <w:gridCol w:w="931"/>
        <w:gridCol w:w="146"/>
        <w:gridCol w:w="146"/>
        <w:gridCol w:w="211"/>
        <w:gridCol w:w="931"/>
        <w:gridCol w:w="5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393,816</w:t>
            </w:r>
          </w:p>
        </w:tc>
        <w:tc>
          <w:tcPr>
            <w:tcW w:w="5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Seat Heaters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270,054</w:t>
            </w:r>
          </w:p>
        </w:tc>
        <w:tc>
          <w:tcPr>
            <w:tcW w:w="5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Steering Wheel Heaters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102,496</w:t>
            </w:r>
          </w:p>
        </w:tc>
        <w:tc>
          <w:tcPr>
            <w:tcW w:w="5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Lumbar and Massage Comfort Solutions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Valve Systems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 Cables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84,114</w:t>
            </w:r>
          </w:p>
        </w:tc>
        <w:tc>
          <w:tcPr>
            <w:tcW w:w="5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Battery Performance Solutions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69,594</w:t>
            </w:r>
          </w:p>
        </w:tc>
        <w:tc>
          <w:tcPr>
            <w:tcW w:w="5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51,648</w:t>
            </w:r>
          </w:p>
        </w:tc>
        <w:tc>
          <w:tcPr>
            <w:tcW w:w="5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 Automotive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1,004,633</w:t>
            </w:r>
          </w:p>
        </w:tc>
        <w:tc>
          <w:tcPr>
            <w:tcW w:w="5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Medical segment </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Includes product revenues from acquisitions since their</w:t>
      </w:r>
      <w:r>
        <w:rPr>
          <w:rFonts w:ascii="Times New Roman" w:hAnsi="Times New Roman"/>
          <w:color w:val="000000"/>
          <w:sz w:val="20"/>
        </w:rPr>
        <w:t xml:space="preserve"> </w:t>
      </w:r>
      <w:r>
        <w:rPr>
          <w:rFonts w:ascii="Times New Roman" w:hAnsi="Times New Roman"/>
          <w:color w:val="000000"/>
          <w:sz w:val="17"/>
        </w:rPr>
        <w:t>respective acquisition dates (see Note 4).</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Revenue (based on shipment destination) by geographic area for each of the years ended December 31, 2023, 2022 and 2021 is as follows: </w:t>
      </w:r>
    </w:p>
    <w:tbl>
      <w:tblPr>
        <w:tblW w:w="6543" w:type="dxa"/>
        <w:jc w:val="left"/>
        <w:tblInd w:w="0" w:type="dxa"/>
        <w:tblLayout w:type="fixed"/>
        <w:tblCellMar>
          <w:top w:w="28" w:type="dxa"/>
          <w:left w:w="28" w:type="dxa"/>
          <w:bottom w:w="28" w:type="dxa"/>
          <w:right w:w="28" w:type="dxa"/>
        </w:tblCellMar>
      </w:tblPr>
      <w:tblGrid>
        <w:gridCol w:w="1796"/>
        <w:gridCol w:w="146"/>
        <w:gridCol w:w="211"/>
        <w:gridCol w:w="931"/>
        <w:gridCol w:w="146"/>
        <w:gridCol w:w="146"/>
        <w:gridCol w:w="211"/>
        <w:gridCol w:w="931"/>
        <w:gridCol w:w="146"/>
        <w:gridCol w:w="146"/>
        <w:gridCol w:w="211"/>
        <w:gridCol w:w="931"/>
        <w:gridCol w:w="59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404,466</w:t>
            </w:r>
          </w:p>
        </w:tc>
        <w:tc>
          <w:tcPr>
            <w:tcW w:w="591"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142,816</w:t>
            </w:r>
          </w:p>
        </w:tc>
        <w:tc>
          <w:tcPr>
            <w:tcW w:w="591"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93,516</w:t>
            </w:r>
          </w:p>
        </w:tc>
        <w:tc>
          <w:tcPr>
            <w:tcW w:w="591"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66,929</w:t>
            </w:r>
          </w:p>
        </w:tc>
        <w:tc>
          <w:tcPr>
            <w:tcW w:w="591"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43,931</w:t>
            </w:r>
          </w:p>
        </w:tc>
        <w:tc>
          <w:tcPr>
            <w:tcW w:w="591"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63,527</w:t>
            </w:r>
          </w:p>
        </w:tc>
        <w:tc>
          <w:tcPr>
            <w:tcW w:w="591"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Romania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51,367</w:t>
            </w:r>
          </w:p>
        </w:tc>
        <w:tc>
          <w:tcPr>
            <w:tcW w:w="591"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18,194</w:t>
            </w:r>
          </w:p>
        </w:tc>
        <w:tc>
          <w:tcPr>
            <w:tcW w:w="591"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Slovakia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30,004</w:t>
            </w:r>
          </w:p>
        </w:tc>
        <w:tc>
          <w:tcPr>
            <w:tcW w:w="591" w:type="dxa"/>
            <w:tcBorders/>
            <w:shd w:fill="CFF0FC" w:val="clear"/>
            <w:vAlign w:val="center"/>
          </w:tcPr>
          <w:p>
            <w:pPr>
              <w:pStyle w:val="TableContents"/>
              <w:bidi w:val="0"/>
              <w:spacing w:before="0" w:after="283"/>
              <w:jc w:val="left"/>
              <w:rPr/>
            </w:pPr>
            <w:r>
              <w:rPr/>
              <w:t> </w:t>
            </w:r>
          </w:p>
        </w:tc>
      </w:tr>
      <w:tr>
        <w:trPr/>
        <w:tc>
          <w:tcPr>
            <w:tcW w:w="1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w:t>
            </w:r>
          </w:p>
        </w:tc>
        <w:tc>
          <w:tcPr>
            <w:tcW w:w="591" w:type="dxa"/>
            <w:tcBorders/>
            <w:shd w:fill="FFFFFF" w:val="clear"/>
            <w:vAlign w:val="center"/>
          </w:tcPr>
          <w:p>
            <w:pPr>
              <w:pStyle w:val="TableContents"/>
              <w:bidi w:val="0"/>
              <w:spacing w:before="0" w:after="283"/>
              <w:jc w:val="left"/>
              <w:rPr/>
            </w:pPr>
            <w:r>
              <w:rPr/>
              <w:t> </w:t>
            </w:r>
          </w:p>
        </w:tc>
      </w:tr>
      <w:tr>
        <w:trPr/>
        <w:tc>
          <w:tcPr>
            <w:tcW w:w="1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Non-U.S.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table below lists the percentage of total product revenues generated from sales to customers which contributed 10% or more to the Company’s total consolidated product revenue for the years ended December 31, 2023, 2022 and 2021:</w:t>
      </w:r>
    </w:p>
    <w:tbl>
      <w:tblPr>
        <w:tblW w:w="3370" w:type="dxa"/>
        <w:jc w:val="left"/>
        <w:tblInd w:w="0" w:type="dxa"/>
        <w:tblLayout w:type="fixed"/>
        <w:tblCellMar>
          <w:top w:w="28" w:type="dxa"/>
          <w:left w:w="28" w:type="dxa"/>
          <w:bottom w:w="28" w:type="dxa"/>
          <w:right w:w="28" w:type="dxa"/>
        </w:tblCellMar>
      </w:tblPr>
      <w:tblGrid>
        <w:gridCol w:w="676"/>
        <w:gridCol w:w="146"/>
        <w:gridCol w:w="147"/>
        <w:gridCol w:w="319"/>
        <w:gridCol w:w="271"/>
        <w:gridCol w:w="146"/>
        <w:gridCol w:w="147"/>
        <w:gridCol w:w="319"/>
        <w:gridCol w:w="271"/>
        <w:gridCol w:w="146"/>
        <w:gridCol w:w="147"/>
        <w:gridCol w:w="319"/>
        <w:gridCol w:w="316"/>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Lear</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Adient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THE CONSOLIDATED FINANCIAL STATEMENTS (Continued)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Property and equipment, net, for each of the geographic areas in which the Company operates as of December 31, 2023 and 2022 is as follows:</w:t>
      </w:r>
    </w:p>
    <w:p>
      <w:pPr>
        <w:pStyle w:val="TextBody"/>
        <w:bidi w:val="0"/>
        <w:jc w:val="left"/>
        <w:rPr/>
      </w:pPr>
      <w:r>
        <w:rPr/>
        <w:t> </w:t>
      </w:r>
    </w:p>
    <w:tbl>
      <w:tblPr>
        <w:tblW w:w="5554" w:type="dxa"/>
        <w:jc w:val="left"/>
        <w:tblInd w:w="0" w:type="dxa"/>
        <w:tblLayout w:type="fixed"/>
        <w:tblCellMar>
          <w:top w:w="28" w:type="dxa"/>
          <w:left w:w="28" w:type="dxa"/>
          <w:bottom w:w="28" w:type="dxa"/>
          <w:right w:w="28" w:type="dxa"/>
        </w:tblCellMar>
      </w:tblPr>
      <w:tblGrid>
        <w:gridCol w:w="2341"/>
        <w:gridCol w:w="146"/>
        <w:gridCol w:w="211"/>
        <w:gridCol w:w="781"/>
        <w:gridCol w:w="146"/>
        <w:gridCol w:w="146"/>
        <w:gridCol w:w="211"/>
        <w:gridCol w:w="781"/>
        <w:gridCol w:w="7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47,342</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43,162</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North Macedonia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27,808</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Vietnam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Czech Republic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Hungary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23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Ukraine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23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4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244,480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SCHEDULE II — VALUATION AND QUALIFYING ACCOUNTS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Years Ended December 31, 2023, 2022 and 2021</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24"/>
        <w:gridCol w:w="146"/>
        <w:gridCol w:w="213"/>
        <w:gridCol w:w="685"/>
        <w:gridCol w:w="146"/>
        <w:gridCol w:w="146"/>
        <w:gridCol w:w="231"/>
        <w:gridCol w:w="740"/>
        <w:gridCol w:w="166"/>
        <w:gridCol w:w="146"/>
        <w:gridCol w:w="282"/>
        <w:gridCol w:w="906"/>
        <w:gridCol w:w="166"/>
        <w:gridCol w:w="226"/>
        <w:gridCol w:w="244"/>
        <w:gridCol w:w="732"/>
        <w:gridCol w:w="166"/>
        <w:gridCol w:w="146"/>
        <w:gridCol w:w="213"/>
        <w:gridCol w:w="685"/>
        <w:gridCol w:w="196"/>
      </w:tblGrid>
      <w:tr>
        <w:trPr/>
        <w:tc>
          <w:tcPr>
            <w:tcW w:w="3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at</w:t>
              <w:br/>
              <w:t>Beginning</w:t>
              <w:br/>
              <w:t>of Period</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Charged to</w:t>
              <w:br/>
              <w:t>Costs and</w:t>
              <w:br/>
              <w:t>Expenses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Activity</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Deductions</w:t>
              <w:br/>
              <w:t>from</w:t>
              <w:br/>
              <w:t>Reserves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at</w:t>
              <w:br/>
              <w:t>End of</w:t>
              <w:br/>
              <w:t>Period</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2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Allowance for Deferred Income Tax Assets</w:t>
            </w:r>
          </w:p>
        </w:tc>
        <w:tc>
          <w:tcPr>
            <w:tcW w:w="14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36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16,090</w:t>
            </w:r>
          </w:p>
        </w:tc>
        <w:tc>
          <w:tcPr>
            <w:tcW w:w="196" w:type="dxa"/>
            <w:tcBorders/>
            <w:shd w:fill="FFFFFF" w:val="clear"/>
            <w:vAlign w:val="center"/>
          </w:tcPr>
          <w:p>
            <w:pPr>
              <w:pStyle w:val="TableContents"/>
              <w:bidi w:val="0"/>
              <w:spacing w:before="0" w:after="283"/>
              <w:jc w:val="left"/>
              <w:rPr/>
            </w:pPr>
            <w:r>
              <w:rPr/>
              <w:t> </w:t>
            </w:r>
          </w:p>
        </w:tc>
      </w:tr>
      <w:tr>
        <w:trPr/>
        <w:tc>
          <w:tcPr>
            <w:tcW w:w="36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18,099</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a</w:t>
            </w:r>
          </w:p>
        </w:tc>
        <w:tc>
          <w:tcPr>
            <w:tcW w:w="24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36,671</w:t>
            </w:r>
          </w:p>
        </w:tc>
        <w:tc>
          <w:tcPr>
            <w:tcW w:w="196" w:type="dxa"/>
            <w:tcBorders/>
            <w:shd w:fill="CFF0FC" w:val="clear"/>
            <w:vAlign w:val="center"/>
          </w:tcPr>
          <w:p>
            <w:pPr>
              <w:pStyle w:val="TableContents"/>
              <w:bidi w:val="0"/>
              <w:spacing w:before="0" w:after="283"/>
              <w:jc w:val="left"/>
              <w:rPr/>
            </w:pPr>
            <w:r>
              <w:rPr/>
              <w:t> </w:t>
            </w:r>
          </w:p>
        </w:tc>
      </w:tr>
      <w:tr>
        <w:trPr/>
        <w:tc>
          <w:tcPr>
            <w:tcW w:w="36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35,888</w:t>
            </w:r>
          </w:p>
        </w:tc>
        <w:tc>
          <w:tcPr>
            <w:tcW w:w="196" w:type="dxa"/>
            <w:tcBorders/>
            <w:shd w:fill="FFFFFF" w:val="clear"/>
            <w:vAlign w:val="center"/>
          </w:tcPr>
          <w:p>
            <w:pPr>
              <w:pStyle w:val="TableContents"/>
              <w:bidi w:val="0"/>
              <w:spacing w:before="0" w:after="283"/>
              <w:jc w:val="left"/>
              <w:rPr/>
            </w:pPr>
            <w:r>
              <w:rPr/>
              <w:t> </w:t>
            </w:r>
          </w:p>
        </w:tc>
      </w:tr>
      <w:tr>
        <w:trPr/>
        <w:tc>
          <w:tcPr>
            <w:tcW w:w="36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8"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362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Reserve for Inventory</w:t>
            </w:r>
          </w:p>
        </w:tc>
        <w:tc>
          <w:tcPr>
            <w:tcW w:w="14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8"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36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96" w:type="dxa"/>
            <w:tcBorders/>
            <w:shd w:fill="CFF0FC" w:val="clear"/>
            <w:vAlign w:val="center"/>
          </w:tcPr>
          <w:p>
            <w:pPr>
              <w:pStyle w:val="TableContents"/>
              <w:bidi w:val="0"/>
              <w:spacing w:before="0" w:after="283"/>
              <w:jc w:val="left"/>
              <w:rPr/>
            </w:pPr>
            <w:r>
              <w:rPr/>
              <w:t> </w:t>
            </w:r>
          </w:p>
        </w:tc>
      </w:tr>
      <w:tr>
        <w:trPr/>
        <w:tc>
          <w:tcPr>
            <w:tcW w:w="36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19,246</w:t>
            </w:r>
          </w:p>
        </w:tc>
        <w:tc>
          <w:tcPr>
            <w:tcW w:w="196" w:type="dxa"/>
            <w:tcBorders/>
            <w:shd w:fill="FFFFFF" w:val="clear"/>
            <w:vAlign w:val="center"/>
          </w:tcPr>
          <w:p>
            <w:pPr>
              <w:pStyle w:val="TableContents"/>
              <w:bidi w:val="0"/>
              <w:spacing w:before="0" w:after="283"/>
              <w:jc w:val="left"/>
              <w:rPr/>
            </w:pPr>
            <w:r>
              <w:rPr/>
              <w:t> </w:t>
            </w:r>
          </w:p>
        </w:tc>
      </w:tr>
      <w:tr>
        <w:trPr/>
        <w:tc>
          <w:tcPr>
            <w:tcW w:w="36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28,017</w:t>
            </w:r>
          </w:p>
        </w:tc>
        <w:tc>
          <w:tcPr>
            <w:tcW w:w="196"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sz w:val="20"/>
        </w:rPr>
      </w:pPr>
      <w:r>
        <w:rPr>
          <w:rFonts w:ascii="Times New Roman" w:hAnsi="Times New Roman"/>
          <w:color w:val="000000"/>
          <w:sz w:val="18"/>
        </w:rPr>
        <w:t>Includes amount relates to valuation allowance from acquisitions</w:t>
      </w:r>
      <w:r>
        <w:rPr>
          <w:rFonts w:ascii="Times New Roman" w:hAnsi="Times New Roman"/>
          <w:color w:val="000000"/>
          <w:sz w:val="17"/>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Annual Report to be signed on its behalf by the undersigned, thereunto duly authorized. </w:t>
      </w:r>
    </w:p>
    <w:tbl>
      <w:tblPr>
        <w:tblW w:w="2829" w:type="dxa"/>
        <w:jc w:val="left"/>
        <w:tblInd w:w="0" w:type="dxa"/>
        <w:tblLayout w:type="fixed"/>
        <w:tblCellMar>
          <w:top w:w="28" w:type="dxa"/>
          <w:left w:w="28" w:type="dxa"/>
          <w:bottom w:w="28" w:type="dxa"/>
          <w:right w:w="28" w:type="dxa"/>
        </w:tblCellMar>
      </w:tblPr>
      <w:tblGrid>
        <w:gridCol w:w="161"/>
        <w:gridCol w:w="146"/>
        <w:gridCol w:w="406"/>
        <w:gridCol w:w="21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2522" w:type="dxa"/>
            <w:gridSpan w:val="2"/>
            <w:tcBorders/>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G</w:t>
            </w:r>
            <w:r>
              <w:rPr>
                <w:rFonts w:ascii="Times New Roman" w:hAnsi="Times New Roman"/>
                <w:b/>
                <w:color w:val="000000"/>
                <w:sz w:val="15"/>
              </w:rPr>
              <w:t>ENTHERM</w:t>
            </w:r>
            <w:r>
              <w:rPr>
                <w:rFonts w:ascii="Times New Roman" w:hAnsi="Times New Roman"/>
                <w:color w:val="000000"/>
                <w:sz w:val="20"/>
              </w:rPr>
              <w:t> </w:t>
            </w:r>
            <w:r>
              <w:rPr>
                <w:rFonts w:ascii="Times New Roman" w:hAnsi="Times New Roman"/>
                <w:b/>
                <w:color w:val="000000"/>
                <w:sz w:val="20"/>
              </w:rPr>
              <w:t>I</w:t>
            </w:r>
            <w:r>
              <w:rPr>
                <w:rFonts w:ascii="Times New Roman" w:hAnsi="Times New Roman"/>
                <w:b/>
                <w:color w:val="000000"/>
                <w:sz w:val="15"/>
              </w:rPr>
              <w:t>NCORPORATED</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116"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Phillip Eyler</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1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Phillip Eyler</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11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116" w:type="dxa"/>
            <w:tcBorders/>
            <w:vAlign w:val="center"/>
          </w:tcPr>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1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February 21, 2024</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Annual Report has been signed below by the following persons on behalf of the registrant in the capacities and on the dates indicated. </w:t>
      </w:r>
    </w:p>
    <w:tbl>
      <w:tblPr>
        <w:tblW w:w="9903" w:type="dxa"/>
        <w:jc w:val="left"/>
        <w:tblInd w:w="0" w:type="dxa"/>
        <w:tblLayout w:type="fixed"/>
        <w:tblCellMar>
          <w:top w:w="28" w:type="dxa"/>
          <w:left w:w="28" w:type="dxa"/>
          <w:bottom w:w="28" w:type="dxa"/>
          <w:right w:w="28" w:type="dxa"/>
        </w:tblCellMar>
      </w:tblPr>
      <w:tblGrid>
        <w:gridCol w:w="2431"/>
        <w:gridCol w:w="615"/>
        <w:gridCol w:w="4835"/>
        <w:gridCol w:w="146"/>
        <w:gridCol w:w="1876"/>
      </w:tblGrid>
      <w:tr>
        <w:trPr/>
        <w:tc>
          <w:tcPr>
            <w:tcW w:w="2431" w:type="dxa"/>
            <w:tcBorders/>
            <w:shd w:fill="FFFFFF" w:val="clear"/>
            <w:vAlign w:val="center"/>
          </w:tcPr>
          <w:p>
            <w:pPr>
              <w:pStyle w:val="TableContents"/>
              <w:bidi w:val="0"/>
              <w:spacing w:before="0" w:after="283"/>
              <w:jc w:val="left"/>
              <w:rPr>
                <w:sz w:val="4"/>
                <w:szCs w:val="4"/>
              </w:rPr>
            </w:pPr>
            <w:r>
              <w:rPr>
                <w:sz w:val="4"/>
                <w:szCs w:val="4"/>
              </w:rPr>
            </w:r>
          </w:p>
        </w:tc>
        <w:tc>
          <w:tcPr>
            <w:tcW w:w="615" w:type="dxa"/>
            <w:tcBorders/>
            <w:shd w:fill="FFFFFF" w:val="clear"/>
            <w:vAlign w:val="center"/>
          </w:tcPr>
          <w:p>
            <w:pPr>
              <w:pStyle w:val="TableContents"/>
              <w:bidi w:val="0"/>
              <w:spacing w:before="0" w:after="283"/>
              <w:jc w:val="left"/>
              <w:rPr>
                <w:sz w:val="4"/>
                <w:szCs w:val="4"/>
              </w:rPr>
            </w:pPr>
            <w:r>
              <w:rPr>
                <w:sz w:val="4"/>
                <w:szCs w:val="4"/>
              </w:rPr>
            </w:r>
          </w:p>
        </w:tc>
        <w:tc>
          <w:tcPr>
            <w:tcW w:w="48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76" w:type="dxa"/>
            <w:tcBorders/>
            <w:shd w:fill="FFFFFF" w:val="clear"/>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Signature</w:t>
            </w:r>
          </w:p>
        </w:tc>
        <w:tc>
          <w:tcPr>
            <w:tcW w:w="615"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83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Capacity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8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Date</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 xml:space="preserve">/s/ PHILLIP EYLER </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pBdr/>
              <w:bidi w:val="0"/>
              <w:spacing w:before="0" w:after="283"/>
              <w:ind w:left="229" w:right="0" w:hanging="240"/>
              <w:jc w:val="left"/>
              <w:rPr>
                <w:rFonts w:ascii="Times New Roman" w:hAnsi="Times New Roman"/>
                <w:color w:val="000000"/>
                <w:sz w:val="18"/>
              </w:rPr>
            </w:pPr>
            <w:r>
              <w:rPr>
                <w:rFonts w:ascii="Times New Roman" w:hAnsi="Times New Roman"/>
                <w:color w:val="000000"/>
                <w:sz w:val="18"/>
              </w:rPr>
              <w:t xml:space="preserve">Director, President and Chief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PHILLIP EYLER</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ind w:left="469" w:right="0" w:firstLine="469"/>
              <w:jc w:val="left"/>
              <w:rPr>
                <w:rFonts w:ascii="Times New Roman" w:hAnsi="Times New Roman"/>
                <w:color w:val="000000"/>
                <w:sz w:val="18"/>
              </w:rPr>
            </w:pPr>
            <w:r>
              <w:rPr>
                <w:rFonts w:ascii="Times New Roman" w:hAnsi="Times New Roman"/>
                <w:color w:val="000000"/>
                <w:sz w:val="18"/>
              </w:rPr>
              <w:t xml:space="preserve">Executive Officer </w:t>
            </w:r>
          </w:p>
          <w:p>
            <w:pPr>
              <w:pStyle w:val="TableContents"/>
              <w:bidi w:val="0"/>
              <w:spacing w:before="0" w:after="283"/>
              <w:ind w:left="469" w:right="0" w:firstLine="469"/>
              <w:jc w:val="left"/>
              <w:rPr>
                <w:rFonts w:ascii="Times New Roman" w:hAnsi="Times New Roman"/>
                <w:color w:val="000000"/>
                <w:sz w:val="18"/>
              </w:rPr>
            </w:pPr>
            <w:r>
              <w:rPr>
                <w:rFonts w:ascii="Times New Roman" w:hAnsi="Times New Roman"/>
                <w:color w:val="000000"/>
                <w:sz w:val="18"/>
              </w:rPr>
              <w:t>(Principal Executive Officer)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/s/ MATTEO ANVERSA</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pBdr/>
              <w:bidi w:val="0"/>
              <w:spacing w:before="0" w:after="283"/>
              <w:ind w:left="229" w:right="0" w:hanging="240"/>
              <w:jc w:val="left"/>
              <w:rPr>
                <w:rFonts w:ascii="Times New Roman" w:hAnsi="Times New Roman"/>
                <w:color w:val="000000"/>
                <w:sz w:val="18"/>
              </w:rPr>
            </w:pPr>
            <w:r>
              <w:rPr>
                <w:rFonts w:ascii="Times New Roman" w:hAnsi="Times New Roman"/>
                <w:color w:val="000000"/>
                <w:sz w:val="18"/>
              </w:rPr>
              <w:t xml:space="preserve">Executive Vice President, Chief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MATTEO ANVERSA</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rFonts w:ascii="Times New Roman" w:hAnsi="Times New Roman"/>
                <w:color w:val="000000"/>
                <w:sz w:val="18"/>
              </w:rPr>
            </w:pPr>
            <w:r>
              <w:rPr>
                <w:rFonts w:ascii="Times New Roman" w:hAnsi="Times New Roman"/>
                <w:color w:val="000000"/>
                <w:sz w:val="18"/>
              </w:rPr>
              <w:t>Financial Officer and Treasurer (Principal Financial Officer)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NICHOLAS BREISACHER</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13"/>
              <w:jc w:val="left"/>
              <w:rPr/>
            </w:pPr>
            <w:r>
              <w:rPr/>
              <w:t> </w:t>
            </w:r>
          </w:p>
        </w:tc>
        <w:tc>
          <w:tcPr>
            <w:tcW w:w="4835" w:type="dxa"/>
            <w:tcBorders/>
            <w:vAlign w:val="center"/>
          </w:tcPr>
          <w:p>
            <w:pPr>
              <w:pStyle w:val="TableContents"/>
              <w:bidi w:val="0"/>
              <w:spacing w:before="0" w:after="283"/>
              <w:ind w:left="213" w:right="0" w:firstLine="213"/>
              <w:jc w:val="left"/>
              <w:rPr>
                <w:rFonts w:ascii="Times New Roman" w:hAnsi="Times New Roman"/>
                <w:color w:val="000000"/>
                <w:sz w:val="18"/>
              </w:rPr>
            </w:pPr>
            <w:r>
              <w:rPr>
                <w:rFonts w:ascii="Times New Roman" w:hAnsi="Times New Roman"/>
                <w:color w:val="000000"/>
                <w:sz w:val="18"/>
              </w:rPr>
              <w:t>Vice President, Chief Accounting Officer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NICHOLAS BREISACHER</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rFonts w:ascii="Times New Roman" w:hAnsi="Times New Roman"/>
                <w:color w:val="000000"/>
                <w:sz w:val="18"/>
              </w:rPr>
            </w:pPr>
            <w:r>
              <w:rPr>
                <w:rFonts w:ascii="Times New Roman" w:hAnsi="Times New Roman"/>
                <w:color w:val="000000"/>
                <w:sz w:val="18"/>
              </w:rPr>
              <w:t>(Principal Accounting Officer)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 Chairman of the Board</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RONALD HUNDZINSKI</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SOPHIE DESORMIÈRE</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pBdr/>
              <w:bidi w:val="0"/>
              <w:spacing w:before="0" w:after="283"/>
              <w:ind w:left="0" w:right="0" w:hanging="240"/>
              <w:jc w:val="center"/>
              <w:rPr>
                <w:rFonts w:ascii="Times New Roman" w:hAnsi="Times New Roman"/>
                <w:caps/>
                <w:color w:val="000000"/>
                <w:sz w:val="18"/>
              </w:rPr>
            </w:pPr>
            <w:r>
              <w:rPr>
                <w:rFonts w:ascii="Times New Roman" w:hAnsi="Times New Roman"/>
                <w:caps/>
                <w:color w:val="000000"/>
                <w:sz w:val="18"/>
              </w:rPr>
              <w:t>David Heinzmann</w:t>
            </w:r>
          </w:p>
        </w:tc>
        <w:tc>
          <w:tcPr>
            <w:tcW w:w="615" w:type="dxa"/>
            <w:tcBorders/>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LAURA KOWALCHIK</w:t>
            </w:r>
          </w:p>
        </w:tc>
        <w:tc>
          <w:tcPr>
            <w:tcW w:w="615" w:type="dxa"/>
            <w:tcBorders/>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 xml:space="preserve">CHARLES KUMMETH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13"/>
              <w:jc w:val="left"/>
              <w:rPr/>
            </w:pPr>
            <w:r>
              <w:rPr/>
              <w:t> </w:t>
            </w:r>
          </w:p>
        </w:tc>
        <w:tc>
          <w:tcPr>
            <w:tcW w:w="4835" w:type="dxa"/>
            <w:tcBorders/>
            <w:vAlign w:val="center"/>
          </w:tcPr>
          <w:p>
            <w:pPr>
              <w:pStyle w:val="TableContents"/>
              <w:bidi w:val="0"/>
              <w:spacing w:before="0" w:after="283"/>
              <w:ind w:left="213" w:right="0" w:firstLine="213"/>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BETSY METER</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BYRON SHAW</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pPr>
            <w:r>
              <w:rPr/>
              <w:t> </w:t>
            </w:r>
          </w:p>
        </w:tc>
        <w:tc>
          <w:tcPr>
            <w:tcW w:w="615" w:type="dxa"/>
            <w:tcBorders/>
            <w:vAlign w:val="center"/>
          </w:tcPr>
          <w:p>
            <w:pPr>
              <w:pStyle w:val="TableContents"/>
              <w:bidi w:val="0"/>
              <w:spacing w:before="0" w:after="283"/>
              <w:ind w:left="0" w:right="0" w:firstLine="469"/>
              <w:jc w:val="left"/>
              <w:rPr/>
            </w:pPr>
            <w:r>
              <w:rPr/>
              <w:t> </w:t>
            </w:r>
          </w:p>
        </w:tc>
        <w:tc>
          <w:tcPr>
            <w:tcW w:w="4835" w:type="dxa"/>
            <w:tcBorders/>
            <w:vAlign w:val="center"/>
          </w:tcPr>
          <w:p>
            <w:pPr>
              <w:pStyle w:val="TableContents"/>
              <w:bidi w:val="0"/>
              <w:spacing w:before="0" w:after="283"/>
              <w:ind w:left="469" w:right="0" w:firstLine="469"/>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JOHN STACEY</w:t>
            </w:r>
          </w:p>
        </w:tc>
        <w:tc>
          <w:tcPr>
            <w:tcW w:w="615" w:type="dxa"/>
            <w:tcBorders/>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431" w:type="dxa"/>
            <w:tcBorders/>
            <w:vAlign w:val="center"/>
          </w:tcPr>
          <w:p>
            <w:pPr>
              <w:pStyle w:val="TableContents"/>
              <w:pBdr/>
              <w:bidi w:val="0"/>
              <w:spacing w:before="0" w:after="283"/>
              <w:ind w:left="0" w:right="0" w:hanging="240"/>
              <w:jc w:val="center"/>
              <w:rPr/>
            </w:pPr>
            <w:r>
              <w:rPr/>
              <w:t> </w:t>
            </w:r>
          </w:p>
        </w:tc>
        <w:tc>
          <w:tcPr>
            <w:tcW w:w="615" w:type="dxa"/>
            <w:tcBorders/>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rFonts w:ascii="Times New Roman" w:hAnsi="Times New Roman"/>
                <w:color w:val="000000"/>
                <w:sz w:val="18"/>
              </w:rPr>
            </w:pPr>
            <w:r>
              <w:rPr>
                <w:rFonts w:ascii="Times New Roman" w:hAnsi="Times New Roman"/>
                <w:color w:val="000000"/>
                <w:sz w:val="18"/>
              </w:rPr>
              <w:t>Director</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February 21, 2024</w:t>
            </w:r>
          </w:p>
        </w:tc>
      </w:tr>
      <w:tr>
        <w:trPr/>
        <w:tc>
          <w:tcPr>
            <w:tcW w:w="2431" w:type="dxa"/>
            <w:tcBorders/>
            <w:vAlign w:val="center"/>
          </w:tcPr>
          <w:p>
            <w:pPr>
              <w:pStyle w:val="TableContents"/>
              <w:pBdr/>
              <w:bidi w:val="0"/>
              <w:spacing w:before="0" w:after="283"/>
              <w:ind w:left="0" w:right="0" w:hanging="240"/>
              <w:jc w:val="center"/>
              <w:rPr>
                <w:rFonts w:ascii="Times New Roman" w:hAnsi="Times New Roman"/>
                <w:color w:val="000000"/>
                <w:sz w:val="18"/>
              </w:rPr>
            </w:pPr>
            <w:r>
              <w:rPr>
                <w:rFonts w:ascii="Times New Roman" w:hAnsi="Times New Roman"/>
                <w:color w:val="000000"/>
                <w:sz w:val="18"/>
              </w:rPr>
              <w:t>KENNETH WASHINGTON</w:t>
            </w:r>
          </w:p>
        </w:tc>
        <w:tc>
          <w:tcPr>
            <w:tcW w:w="615" w:type="dxa"/>
            <w:tcBorders/>
            <w:vAlign w:val="center"/>
          </w:tcPr>
          <w:p>
            <w:pPr>
              <w:pStyle w:val="TableContents"/>
              <w:bidi w:val="0"/>
              <w:spacing w:before="0" w:after="283"/>
              <w:ind w:left="0" w:right="0" w:firstLine="208"/>
              <w:jc w:val="left"/>
              <w:rPr/>
            </w:pPr>
            <w:r>
              <w:rPr/>
              <w:t> </w:t>
            </w:r>
          </w:p>
        </w:tc>
        <w:tc>
          <w:tcPr>
            <w:tcW w:w="4835" w:type="dxa"/>
            <w:tcBorders/>
            <w:vAlign w:val="center"/>
          </w:tcPr>
          <w:p>
            <w:pPr>
              <w:pStyle w:val="TableContents"/>
              <w:bidi w:val="0"/>
              <w:spacing w:before="0" w:after="283"/>
              <w:ind w:left="208" w:right="0" w:firstLine="208"/>
              <w:jc w:val="left"/>
              <w:rPr/>
            </w:pPr>
            <w:r>
              <w:rPr/>
              <w:t> </w:t>
            </w:r>
          </w:p>
        </w:tc>
        <w:tc>
          <w:tcPr>
            <w:tcW w:w="146" w:type="dxa"/>
            <w:tcBorders/>
            <w:vAlign w:val="center"/>
          </w:tcPr>
          <w:p>
            <w:pPr>
              <w:pStyle w:val="TableContents"/>
              <w:bidi w:val="0"/>
              <w:spacing w:before="0" w:after="283"/>
              <w:jc w:val="left"/>
              <w:rPr/>
            </w:pPr>
            <w:r>
              <w:rPr/>
              <w:t> </w:t>
            </w:r>
          </w:p>
        </w:tc>
        <w:tc>
          <w:tcPr>
            <w:tcW w:w="1876" w:type="dxa"/>
            <w:tcBorders/>
            <w:vAlign w:val="center"/>
          </w:tcPr>
          <w:p>
            <w:pPr>
              <w:pStyle w:val="TableContents"/>
              <w:bidi w:val="0"/>
              <w:spacing w:before="0" w:after="283"/>
              <w:jc w:val="center"/>
              <w:rPr/>
            </w:pPr>
            <w:r>
              <w:rPr/>
              <w:t> </w:t>
            </w:r>
          </w:p>
        </w:tc>
      </w:tr>
    </w:tbl>
    <w:p>
      <w:pPr>
        <w:pStyle w:val="TextBody"/>
        <w:bidi w:val="0"/>
        <w:jc w:val="left"/>
        <w:rPr/>
      </w:pPr>
      <w:r>
        <w:rPr/>
        <w:t> </w:t>
      </w:r>
    </w:p>
    <w:tbl>
      <w:tblPr>
        <w:tblW w:w="3152" w:type="dxa"/>
        <w:jc w:val="left"/>
        <w:tblInd w:w="0" w:type="dxa"/>
        <w:tblLayout w:type="fixed"/>
        <w:tblCellMar>
          <w:top w:w="28" w:type="dxa"/>
          <w:left w:w="28" w:type="dxa"/>
          <w:bottom w:w="28" w:type="dxa"/>
          <w:right w:w="28" w:type="dxa"/>
        </w:tblCellMar>
      </w:tblPr>
      <w:tblGrid>
        <w:gridCol w:w="526"/>
        <w:gridCol w:w="2626"/>
      </w:tblGrid>
      <w:tr>
        <w:trPr/>
        <w:tc>
          <w:tcPr>
            <w:tcW w:w="5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626" w:type="dxa"/>
            <w:tcBorders>
              <w:bottom w:val="single" w:sz="4" w:space="0" w:color="000000"/>
            </w:tcBorders>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Phillip Eyler</w:t>
            </w:r>
          </w:p>
        </w:tc>
      </w:tr>
      <w:tr>
        <w:trPr/>
        <w:tc>
          <w:tcPr>
            <w:tcW w:w="526" w:type="dxa"/>
            <w:tcBorders/>
            <w:vAlign w:val="center"/>
          </w:tcPr>
          <w:p>
            <w:pPr>
              <w:pStyle w:val="TableContents"/>
              <w:bidi w:val="0"/>
              <w:spacing w:before="0" w:after="283"/>
              <w:jc w:val="both"/>
              <w:rPr/>
            </w:pPr>
            <w:r>
              <w:rPr/>
              <w:t> </w:t>
            </w:r>
          </w:p>
        </w:tc>
        <w:tc>
          <w:tcPr>
            <w:tcW w:w="262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Phillip Eyler, Attorney-in-Fact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thrm-ex10_14.htm"/>
      <w:bookmarkStart w:id="37" w:name="ksthrmex10_14"/>
      <w:bookmarkEnd w:id="36"/>
      <w:bookmarkEnd w:id="37"/>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10.14</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Gentherm incorporated</w:t>
      </w:r>
    </w:p>
    <w:p>
      <w:pPr>
        <w:pStyle w:val="TextBody"/>
        <w:bidi w:val="0"/>
        <w:spacing w:before="240" w:after="240"/>
        <w:jc w:val="center"/>
        <w:rPr>
          <w:rFonts w:ascii="Times New Roman" w:hAnsi="Times New Roman"/>
          <w:b/>
          <w:caps/>
          <w:color w:val="000000"/>
          <w:sz w:val="24"/>
        </w:rPr>
      </w:pPr>
      <w:r>
        <w:rPr>
          <w:rFonts w:ascii="Times New Roman" w:hAnsi="Times New Roman"/>
          <w:b/>
          <w:caps/>
          <w:color w:val="000000"/>
          <w:sz w:val="24"/>
        </w:rPr>
        <w:t>SUMMARY OF NON-EMPLOYEE DIRECTOR COMPENSATION</w:t>
      </w:r>
    </w:p>
    <w:p>
      <w:pPr>
        <w:pStyle w:val="TextBody"/>
        <w:bidi w:val="0"/>
        <w:jc w:val="both"/>
        <w:rPr>
          <w:rFonts w:ascii="Times New Roman" w:hAnsi="Times New Roman"/>
          <w:color w:val="000000"/>
          <w:sz w:val="22"/>
        </w:rPr>
      </w:pPr>
      <w:r>
        <w:rPr>
          <w:rFonts w:ascii="Times New Roman" w:hAnsi="Times New Roman"/>
          <w:color w:val="000000"/>
          <w:sz w:val="22"/>
        </w:rPr>
        <w:t>The compensation described herein will have effect starting with the 2024 annual meeting of shareholders.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Non-employee directors of the Board receive a mix of cash and share-based compensation. Directors who are employees or officers of the Corporation do not receive any additional compensation for Board service.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Non-employee directors receive the following:</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23"/>
        <w:gridCol w:w="3384"/>
        <w:gridCol w:w="146"/>
        <w:gridCol w:w="146"/>
        <w:gridCol w:w="1206"/>
      </w:tblGrid>
      <w:tr>
        <w:trPr/>
        <w:tc>
          <w:tcPr>
            <w:tcW w:w="5323"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5323" w:type="dxa"/>
            <w:tcBorders>
              <w:bottom w:val="single" w:sz="4" w:space="0" w:color="1B75BB"/>
            </w:tcBorders>
            <w:tcMar>
              <w:top w:w="0" w:type="dxa"/>
              <w:left w:w="0" w:type="dxa"/>
              <w:right w:w="0" w:type="dxa"/>
            </w:tcMar>
            <w:vAlign w:val="center"/>
          </w:tcPr>
          <w:p>
            <w:pPr>
              <w:pStyle w:val="TableContents"/>
              <w:bidi w:val="0"/>
              <w:spacing w:before="0" w:after="283"/>
              <w:jc w:val="left"/>
              <w:rPr/>
            </w:pPr>
            <w:r>
              <w:rPr/>
              <w:t> </w:t>
            </w:r>
          </w:p>
        </w:tc>
        <w:tc>
          <w:tcPr>
            <w:tcW w:w="3384" w:type="dxa"/>
            <w:tcBorders>
              <w:bottom w:val="single" w:sz="4" w:space="0" w:color="1B75B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bottom w:val="single" w:sz="4" w:space="0" w:color="1B75BB"/>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Value ($)</w:t>
            </w:r>
          </w:p>
        </w:tc>
      </w:tr>
      <w:tr>
        <w:trPr/>
        <w:tc>
          <w:tcPr>
            <w:tcW w:w="8707" w:type="dxa"/>
            <w:gridSpan w:val="2"/>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Annual cash retainer for Board service: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shd w:fill="DEEAF6"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8707" w:type="dxa"/>
            <w:gridSpan w:val="2"/>
            <w:tcBorders/>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Chair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2"/>
              </w:rPr>
            </w:pPr>
            <w:r>
              <w:rPr>
                <w:rFonts w:ascii="Times New Roman" w:hAnsi="Times New Roman"/>
                <w:color w:val="000000"/>
                <w:sz w:val="22"/>
              </w:rPr>
              <w:t>166,000</w:t>
            </w:r>
          </w:p>
        </w:tc>
      </w:tr>
      <w:tr>
        <w:trPr/>
        <w:tc>
          <w:tcPr>
            <w:tcW w:w="8707" w:type="dxa"/>
            <w:gridSpan w:val="2"/>
            <w:tcBorders/>
            <w:shd w:fill="DEEAF6"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Lead Independent Director (if any)</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DEEAF6" w:val="clear"/>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2"/>
              </w:rPr>
            </w:pPr>
            <w:r>
              <w:rPr>
                <w:rFonts w:ascii="Times New Roman" w:hAnsi="Times New Roman"/>
                <w:color w:val="000000"/>
                <w:sz w:val="22"/>
              </w:rPr>
              <w:t>101,000</w:t>
            </w:r>
          </w:p>
        </w:tc>
      </w:tr>
      <w:tr>
        <w:trPr/>
        <w:tc>
          <w:tcPr>
            <w:tcW w:w="8707" w:type="dxa"/>
            <w:gridSpan w:val="2"/>
            <w:tcBorders/>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Other non-employee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86,000</w:t>
            </w:r>
          </w:p>
        </w:tc>
      </w:tr>
      <w:tr>
        <w:trPr/>
        <w:tc>
          <w:tcPr>
            <w:tcW w:w="8707" w:type="dxa"/>
            <w:gridSpan w:val="2"/>
            <w:tcBorders/>
            <w:shd w:fill="DEEAF6"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Annual cash retainers for Committee service:</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shd w:fill="DEEAF6"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8707" w:type="dxa"/>
            <w:gridSpan w:val="2"/>
            <w:tcBorders/>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Audit Committee – Chair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2"/>
              </w:rPr>
            </w:pPr>
            <w:r>
              <w:rPr>
                <w:rFonts w:ascii="Times New Roman" w:hAnsi="Times New Roman"/>
                <w:color w:val="000000"/>
                <w:sz w:val="22"/>
              </w:rPr>
              <w:t>20,000</w:t>
            </w:r>
          </w:p>
        </w:tc>
      </w:tr>
      <w:tr>
        <w:trPr/>
        <w:tc>
          <w:tcPr>
            <w:tcW w:w="8707" w:type="dxa"/>
            <w:gridSpan w:val="2"/>
            <w:tcBorders/>
            <w:shd w:fill="DEEAF6"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Compensation and Talent, Nominating and Corporate Governance, Technology and Mergers &amp; Acquisitions Committees – Chair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shd w:fill="DEEAF6" w:val="clear"/>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2"/>
              </w:rPr>
            </w:pPr>
            <w:r>
              <w:rPr>
                <w:rFonts w:ascii="Times New Roman" w:hAnsi="Times New Roman"/>
                <w:color w:val="000000"/>
                <w:sz w:val="22"/>
              </w:rPr>
              <w:t>15,000</w:t>
            </w:r>
          </w:p>
        </w:tc>
      </w:tr>
      <w:tr>
        <w:trPr/>
        <w:tc>
          <w:tcPr>
            <w:tcW w:w="8707" w:type="dxa"/>
            <w:gridSpan w:val="2"/>
            <w:tcBorders/>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Audit Committee – Member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2"/>
              </w:rPr>
            </w:pPr>
            <w:r>
              <w:rPr>
                <w:rFonts w:ascii="Times New Roman" w:hAnsi="Times New Roman"/>
                <w:color w:val="000000"/>
                <w:sz w:val="22"/>
              </w:rPr>
              <w:t>10,000</w:t>
            </w:r>
          </w:p>
        </w:tc>
      </w:tr>
      <w:tr>
        <w:trPr/>
        <w:tc>
          <w:tcPr>
            <w:tcW w:w="8707" w:type="dxa"/>
            <w:gridSpan w:val="2"/>
            <w:tcBorders/>
            <w:shd w:fill="DEEAF6" w:val="clear"/>
            <w:tcMar>
              <w:top w:w="0" w:type="dxa"/>
              <w:left w:w="0" w:type="dxa"/>
              <w:bottom w:w="0" w:type="dxa"/>
              <w:right w:w="0" w:type="dxa"/>
            </w:tcMar>
            <w:vAlign w:val="center"/>
          </w:tcPr>
          <w:p>
            <w:pPr>
              <w:pStyle w:val="TableContents"/>
              <w:bidi w:val="0"/>
              <w:spacing w:before="0" w:after="283"/>
              <w:ind w:left="274" w:right="0" w:firstLine="274"/>
              <w:jc w:val="left"/>
              <w:rPr>
                <w:rFonts w:ascii="Times New Roman" w:hAnsi="Times New Roman"/>
                <w:color w:val="000000"/>
                <w:sz w:val="22"/>
              </w:rPr>
            </w:pPr>
            <w:r>
              <w:rPr>
                <w:rFonts w:ascii="Times New Roman" w:hAnsi="Times New Roman"/>
                <w:color w:val="000000"/>
                <w:sz w:val="22"/>
              </w:rPr>
              <w:t>Compensation and Talent, Nominating and Corporate Governance, Technology and Mergers &amp; Acquisitions Committees – Member</w:t>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EEAF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shd w:fill="DEEAF6"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7,500</w:t>
            </w:r>
          </w:p>
        </w:tc>
      </w:tr>
      <w:tr>
        <w:trPr/>
        <w:tc>
          <w:tcPr>
            <w:tcW w:w="87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Annual equity retainer (restricted stock award)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135,000</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Cash compensation is paid in advance at the annual meeting of shareholders. Newly appointed members of the Board will receive the full cash retainer for their service. In the event of termination of service, cash retainers will be not be clawed back so long as the Board member exits in good standing.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restricted stock award vests on the earlier of the first anniversary of the date of grant or the date of the next annual meeting of shareholders, subject to the applicable director’s continued service or retirement (all as under the terms of the Corporation’s then-applicable incentive equity plan). The number of shares will be determined based on the closing trading price of a share of common stock on the grant date (generally, the date of the annual meeting). Newly appointed directors will be granted a pro-rata portion of the restricted stock award for Board service as of the initial appointment date. The restricted stock will be forfeited in the event of termination of service as a non-employee director of the Corporation prior to vesting, subject to acceleration of vesting upon retirement, and subject to the Compensation Committee’s right to accelerate the vesting of all or a portion of the restricted stock at any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addition, directors receive reimbursement for out-of-pocket expenses, including those incurred in attending Board and committee meetings.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8" w:name="thrm-ex21.htm"/>
      <w:bookmarkStart w:id="39" w:name="ksthrmex21"/>
      <w:bookmarkEnd w:id="38"/>
      <w:bookmarkEnd w:id="39"/>
      <w:r>
        <w:rPr>
          <w:rFonts w:ascii="Times New Roman" w:hAnsi="Times New Roman"/>
          <w:b/>
          <w:color w:val="000000"/>
          <w:sz w:val="20"/>
        </w:rPr>
        <w:t>Exhibit 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LIST OF SUBSIDIARIES</w:t>
      </w:r>
      <w:r>
        <w:rPr>
          <w:rFonts w:ascii="Times New Roman" w:hAnsi="Times New Roman"/>
          <w:color w:val="000000"/>
          <w:sz w:val="20"/>
        </w:rPr>
        <w:t xml:space="preserve"> </w:t>
      </w:r>
    </w:p>
    <w:tbl>
      <w:tblPr>
        <w:tblW w:w="7078" w:type="dxa"/>
        <w:jc w:val="left"/>
        <w:tblInd w:w="0" w:type="dxa"/>
        <w:tblLayout w:type="fixed"/>
        <w:tblCellMar>
          <w:top w:w="28" w:type="dxa"/>
          <w:left w:w="28" w:type="dxa"/>
          <w:bottom w:w="28" w:type="dxa"/>
          <w:right w:w="28" w:type="dxa"/>
        </w:tblCellMar>
      </w:tblPr>
      <w:tblGrid>
        <w:gridCol w:w="4726"/>
        <w:gridCol w:w="146"/>
        <w:gridCol w:w="2206"/>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7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Jurisdiction of Formation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Holding (Malta)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Automotive Systems (Malta)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Malta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Automotive Technologies (Shanghai)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Electronics (Shenzhen)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Investment (Shanghai)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Automotive Systems (China)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International Holdings (Hong Kong) Limited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Alfmeier Automotive Systems Shanghai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Jiangmen Dacheng Medical Equipment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CZ s.r.o.</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Czech Republic </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Enterprises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Licensing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Cosmiq Industrie Vewaltungs – und Vemietungs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Prazision SE</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K3 Works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Vietnam Co. Ltd.</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Japan Inc.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Korea Inc.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IOB Medical, Inc.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Properties I, LLC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Properties II, LLC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Equity, LLC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Licensing, L.P.</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Medical, LLC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(South Carolina) Corporation</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Carolina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Automotive, LLC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Carolina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Gentherm (Texas), Inc.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Hungary Kft</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Financing Hungary Kft</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Ukraine TOV</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Ukraine</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de Mexico S.A. de C.V</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Monterrey S.A. de C.V.</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Canada ULC</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4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Stihler Electronic GmbH</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5323" w:type="dxa"/>
        <w:jc w:val="left"/>
        <w:tblInd w:w="0" w:type="dxa"/>
        <w:tblLayout w:type="fixed"/>
        <w:tblCellMar>
          <w:top w:w="28" w:type="dxa"/>
          <w:left w:w="28" w:type="dxa"/>
          <w:bottom w:w="28" w:type="dxa"/>
          <w:right w:w="28" w:type="dxa"/>
        </w:tblCellMar>
      </w:tblPr>
      <w:tblGrid>
        <w:gridCol w:w="3601"/>
        <w:gridCol w:w="146"/>
        <w:gridCol w:w="157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U.K. LTD.</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r>
      <w:tr>
        <w:trPr/>
        <w:tc>
          <w:tcPr>
            <w:tcW w:w="3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Luxembourg II S.a.r.l</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3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r>
      <w:tr>
        <w:trPr/>
        <w:tc>
          <w:tcPr>
            <w:tcW w:w="3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North Macedonia DOOEL Prilep</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Macedonia</w:t>
            </w:r>
          </w:p>
        </w:tc>
      </w:tr>
      <w:tr>
        <w:trPr/>
        <w:tc>
          <w:tcPr>
            <w:tcW w:w="3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r>
      <w:tr>
        <w:trPr/>
        <w:tc>
          <w:tcPr>
            <w:tcW w:w="3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HEWE Mexico S.A. de C.V</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pPr>
            <w:r>
              <w:rPr/>
              <w:t> </w:t>
            </w:r>
          </w:p>
        </w:tc>
      </w:tr>
      <w:tr>
        <w:trPr/>
        <w:tc>
          <w:tcPr>
            <w:tcW w:w="36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Gentherm Moroocco SASU</w:t>
            </w:r>
          </w:p>
        </w:tc>
        <w:tc>
          <w:tcPr>
            <w:tcW w:w="146"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Morocco</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0" w:name="thrm-ex23_1.htm"/>
      <w:bookmarkStart w:id="41" w:name="ksthrmex23_1"/>
      <w:bookmarkEnd w:id="40"/>
      <w:bookmarkEnd w:id="41"/>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Nos. 333-189442, 333-218155, and 333-245646) pertaining to the Gentherm Incorporated 2013 Equity Incentive Plan,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333-272056) pertaining to the Gentherm Incorporated 2023 Equity Incentive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our reports dated February 21, 2024, with respect to the consolidated financial statements and schedule of Gentherm Incorporated and the effectiveness of internal control over financial reporting of Gentherm Incorporated included in this Annual Report (Form 10-K) of Gentherm Incorporated for the year ended December 31, 2023.</w:t>
      </w:r>
    </w:p>
    <w:p>
      <w:pPr>
        <w:pStyle w:val="TextBody"/>
        <w:bidi w:val="0"/>
        <w:jc w:val="both"/>
        <w:rPr/>
      </w:pPr>
      <w:r>
        <w:rPr/>
        <w:t> </w:t>
      </w:r>
    </w:p>
    <w:p>
      <w:pPr>
        <w:pStyle w:val="TextBody"/>
        <w:bidi w:val="0"/>
        <w:jc w:val="both"/>
        <w:rPr/>
      </w:pPr>
      <w:r>
        <w:rPr/>
        <w:t> </w:t>
      </w:r>
    </w:p>
    <w:tbl>
      <w:tblPr>
        <w:tblW w:w="3508" w:type="dxa"/>
        <w:jc w:val="left"/>
        <w:tblInd w:w="0" w:type="dxa"/>
        <w:tblLayout w:type="fixed"/>
        <w:tblCellMar>
          <w:top w:w="28" w:type="dxa"/>
          <w:left w:w="28" w:type="dxa"/>
          <w:bottom w:w="28" w:type="dxa"/>
          <w:right w:w="28" w:type="dxa"/>
        </w:tblCellMar>
      </w:tblPr>
      <w:tblGrid>
        <w:gridCol w:w="2799"/>
        <w:gridCol w:w="709"/>
      </w:tblGrid>
      <w:tr>
        <w:trPr/>
        <w:tc>
          <w:tcPr>
            <w:tcW w:w="27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799" w:type="dxa"/>
            <w:tcBorders/>
            <w:vAlign w:val="center"/>
          </w:tcPr>
          <w:p>
            <w:pPr>
              <w:pStyle w:val="TableContents"/>
              <w:bidi w:val="0"/>
              <w:spacing w:before="0" w:after="283"/>
              <w:ind w:left="0" w:right="518" w:hanging="0"/>
              <w:jc w:val="both"/>
              <w:rPr>
                <w:rFonts w:ascii="Times New Roman" w:hAnsi="Times New Roman"/>
                <w:color w:val="000000"/>
                <w:sz w:val="20"/>
              </w:rPr>
            </w:pPr>
            <w:r>
              <w:rPr>
                <w:rFonts w:ascii="Times New Roman" w:hAnsi="Times New Roman"/>
                <w:color w:val="000000"/>
                <w:sz w:val="20"/>
              </w:rPr>
              <w:t>/s/ ERNST &amp; YOUNG LLP</w:t>
            </w:r>
          </w:p>
        </w:tc>
        <w:tc>
          <w:tcPr>
            <w:tcW w:w="709" w:type="dxa"/>
            <w:tcBorders/>
            <w:vAlign w:val="center"/>
          </w:tcPr>
          <w:p>
            <w:pPr>
              <w:pStyle w:val="TableContents"/>
              <w:bidi w:val="0"/>
              <w:spacing w:before="0" w:after="283"/>
              <w:ind w:left="0" w:right="518" w:hanging="0"/>
              <w:jc w:val="both"/>
              <w:rPr/>
            </w:pPr>
            <w:r>
              <w:rPr/>
              <w:t> </w:t>
            </w:r>
          </w:p>
        </w:tc>
      </w:tr>
      <w:tr>
        <w:trPr/>
        <w:tc>
          <w:tcPr>
            <w:tcW w:w="2799" w:type="dxa"/>
            <w:tcBorders/>
            <w:vAlign w:val="center"/>
          </w:tcPr>
          <w:p>
            <w:pPr>
              <w:pStyle w:val="TableContents"/>
              <w:bidi w:val="0"/>
              <w:spacing w:before="0" w:after="283"/>
              <w:ind w:left="0" w:right="518" w:hanging="0"/>
              <w:jc w:val="both"/>
              <w:rPr/>
            </w:pPr>
            <w:r>
              <w:rPr/>
              <w:t> </w:t>
            </w:r>
          </w:p>
        </w:tc>
        <w:tc>
          <w:tcPr>
            <w:tcW w:w="709" w:type="dxa"/>
            <w:tcBorders/>
            <w:vAlign w:val="center"/>
          </w:tcPr>
          <w:p>
            <w:pPr>
              <w:pStyle w:val="TableContents"/>
              <w:bidi w:val="0"/>
              <w:spacing w:before="0" w:after="283"/>
              <w:ind w:left="0" w:right="518" w:hanging="0"/>
              <w:jc w:val="both"/>
              <w:rPr/>
            </w:pPr>
            <w:r>
              <w:rPr/>
              <w:t> </w:t>
            </w:r>
          </w:p>
        </w:tc>
      </w:tr>
      <w:tr>
        <w:trPr/>
        <w:tc>
          <w:tcPr>
            <w:tcW w:w="279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Detroit, Michigan</w:t>
            </w:r>
          </w:p>
        </w:tc>
        <w:tc>
          <w:tcPr>
            <w:tcW w:w="709" w:type="dxa"/>
            <w:tcBorders/>
            <w:vAlign w:val="center"/>
          </w:tcPr>
          <w:p>
            <w:pPr>
              <w:pStyle w:val="TableContents"/>
              <w:bidi w:val="0"/>
              <w:spacing w:before="0" w:after="283"/>
              <w:ind w:left="0" w:right="518" w:hanging="0"/>
              <w:jc w:val="both"/>
              <w:rPr/>
            </w:pPr>
            <w:r>
              <w:rPr/>
              <w:t> </w:t>
            </w:r>
          </w:p>
        </w:tc>
      </w:tr>
      <w:tr>
        <w:trPr/>
        <w:tc>
          <w:tcPr>
            <w:tcW w:w="279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21, 2024</w:t>
            </w:r>
          </w:p>
        </w:tc>
        <w:tc>
          <w:tcPr>
            <w:tcW w:w="709" w:type="dxa"/>
            <w:tcBorders/>
            <w:vAlign w:val="center"/>
          </w:tcPr>
          <w:p>
            <w:pPr>
              <w:pStyle w:val="TableContents"/>
              <w:bidi w:val="0"/>
              <w:spacing w:before="0" w:after="283"/>
              <w:ind w:left="0" w:right="518" w:hanging="0"/>
              <w:jc w:val="both"/>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thrm-ex24.htm"/>
      <w:bookmarkStart w:id="43" w:name="ksthrmex24"/>
      <w:bookmarkEnd w:id="42"/>
      <w:bookmarkEnd w:id="43"/>
      <w:r>
        <w:rPr>
          <w:rFonts w:ascii="Times New Roman" w:hAnsi="Times New Roman"/>
          <w:b/>
          <w:color w:val="000000"/>
          <w:sz w:val="20"/>
        </w:rPr>
        <w:t>Exhibit 24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the undersigned, being a Member of the Board of Directors of Gentherm Incorporated (the "Registrant"), hereby severally constitutes and appoints each of Phillip Eyler, the Registrant's President and Chief Executive Officer, and Matteo Anversa, the Registrant's Executive Vice President of Finance, Chief Financial Officer and Treasurer, or any of them, with full powers of substitution and resubstitution, his or her true and lawful attorney, with full powers to sign for him or her, in his or her name, in the capacity indicated herein, (a) the annual report of the Registrant for the fiscal year ending December 31, 2023 on Form 10-K and (b) any and all amendments to such Form 10-K, and to file or cause to be filed the same, with all exhibits thereto and other documents in connection therewith, with the Securities and Exchange Commission, granting unto said attorney, full power and authority to do and perform each and every act and thing requisite and necessary to be done in connection therewith, as fully to all intents and purposes said attorney might or could do in person, and hereby ratifying and confirming all that said attorney, or his substitute or substitutes, shall do or cause to be done by virtue of this Power of Attorney. This Power of Attorney may be executed in separate original or facsimile counterparts.</w:t>
      </w:r>
    </w:p>
    <w:p>
      <w:pPr>
        <w:pStyle w:val="TextBody"/>
        <w:bidi w:val="0"/>
        <w:spacing w:before="240" w:after="283"/>
        <w:jc w:val="both"/>
        <w:rPr>
          <w:rFonts w:ascii="Times New Roman" w:hAnsi="Times New Roman"/>
          <w:sz w:val="20"/>
        </w:rPr>
      </w:pPr>
      <w:r>
        <w:rPr>
          <w:rFonts w:ascii="Times New Roman" w:hAnsi="Times New Roman"/>
          <w:color w:val="000000"/>
          <w:sz w:val="20"/>
        </w:rPr>
        <w:t>IN WITNESS WHEREOF, the undersigned have executed this instrument this 20</w:t>
      </w:r>
      <w:r>
        <w:rPr>
          <w:rFonts w:ascii="Times New Roman" w:hAnsi="Times New Roman"/>
          <w:color w:val="000000"/>
          <w:sz w:val="13"/>
        </w:rPr>
        <w:t>th</w:t>
      </w:r>
      <w:r>
        <w:rPr>
          <w:rFonts w:ascii="Times New Roman" w:hAnsi="Times New Roman"/>
          <w:color w:val="000000"/>
          <w:sz w:val="20"/>
        </w:rPr>
        <w:t xml:space="preserve"> day of February, 2024.</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sz w:val="20"/>
              </w:rPr>
            </w:pPr>
            <w:r>
              <w:rPr>
                <w:rFonts w:ascii="Times New Roman" w:hAnsi="Times New Roman"/>
                <w:color w:val="000000"/>
                <w:sz w:val="20"/>
              </w:rPr>
              <w:t>/s/ Sophie Desormi</w:t>
            </w:r>
            <w:r>
              <w:rPr>
                <w:rFonts w:ascii="Calibri;sans-serif" w:hAnsi="Calibri;sans-serif"/>
                <w:color w:val="000000"/>
                <w:sz w:val="18"/>
              </w:rPr>
              <w:t>è</w:t>
            </w:r>
            <w:r>
              <w:rPr>
                <w:rFonts w:ascii="Times New Roman" w:hAnsi="Times New Roman"/>
                <w:color w:val="000000"/>
                <w:sz w:val="20"/>
              </w:rPr>
              <w:t>re</w:t>
            </w:r>
          </w:p>
        </w:tc>
      </w:tr>
      <w:tr>
        <w:trPr/>
        <w:tc>
          <w:tcPr>
            <w:tcW w:w="213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Sophie Desormi</w:t>
            </w:r>
            <w:r>
              <w:rPr>
                <w:rFonts w:ascii="Calibri;sans-serif" w:hAnsi="Calibri;sans-serif"/>
                <w:color w:val="000000"/>
                <w:sz w:val="18"/>
              </w:rPr>
              <w:t>è</w:t>
            </w:r>
            <w:r>
              <w:rPr>
                <w:rFonts w:ascii="Times New Roman" w:hAnsi="Times New Roman"/>
                <w:color w:val="000000"/>
                <w:sz w:val="20"/>
              </w:rPr>
              <w:t>re</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David Heinzmann</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Heinzmann</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Ronald Hundzinski</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Ronald Hundzinski</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Laura Kowalchik</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Kowalchik</w:t>
            </w:r>
          </w:p>
        </w:tc>
      </w:tr>
      <w:tr>
        <w:trPr/>
        <w:tc>
          <w:tcPr>
            <w:tcW w:w="2131" w:type="dxa"/>
            <w:tcBorders/>
            <w:vAlign w:val="center"/>
          </w:tcPr>
          <w:p>
            <w:pPr>
              <w:pStyle w:val="TableContents"/>
              <w:bidi w:val="0"/>
              <w:spacing w:before="0" w:after="283"/>
              <w:jc w:val="left"/>
              <w:rPr/>
            </w:pPr>
            <w:r>
              <w:rPr/>
              <w:t> </w:t>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Charles Kummeth</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Kummeth</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Betsy Meter</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Betsy Meter</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Byron Shaw</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Byron Shaw </w:t>
            </w:r>
          </w:p>
        </w:tc>
      </w:tr>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John Stacey</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Stacey</w:t>
            </w:r>
          </w:p>
        </w:tc>
      </w:tr>
      <w:tr>
        <w:trPr/>
        <w:tc>
          <w:tcPr>
            <w:tcW w:w="2131" w:type="dxa"/>
            <w:tcBorders/>
            <w:vAlign w:val="center"/>
          </w:tcPr>
          <w:p>
            <w:pPr>
              <w:pStyle w:val="TableContents"/>
              <w:bidi w:val="0"/>
              <w:spacing w:before="0" w:after="283"/>
              <w:jc w:val="left"/>
              <w:rPr/>
            </w:pPr>
            <w:r>
              <w:rPr/>
              <w:t> </w:t>
            </w:r>
          </w:p>
        </w:tc>
      </w:tr>
      <w:tr>
        <w:trPr/>
        <w:tc>
          <w:tcPr>
            <w:tcW w:w="213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Kenneth Washington</w:t>
            </w:r>
          </w:p>
        </w:tc>
      </w:tr>
      <w:tr>
        <w:trPr/>
        <w:tc>
          <w:tcPr>
            <w:tcW w:w="2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Kenneth Washington</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4" w:name="thrm-ex31_1.htm"/>
      <w:bookmarkStart w:id="45" w:name="ksthrmex31_1"/>
      <w:bookmarkEnd w:id="44"/>
      <w:bookmarkEnd w:id="45"/>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Phillip Eyler,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period ended December 31, 2023 of Gentherm Incorporated;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Eyler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Eyler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6" w:name="thrm-ex31_2.htm"/>
      <w:bookmarkStart w:id="47" w:name="ksthrmex31_2"/>
      <w:bookmarkEnd w:id="46"/>
      <w:bookmarkEnd w:id="47"/>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Matteo Anversa, certify that: </w:t>
      </w:r>
    </w:p>
    <w:p>
      <w:pPr>
        <w:pStyle w:val="TextBody"/>
        <w:bidi w:val="0"/>
        <w:spacing w:before="120" w:after="283"/>
        <w:jc w:val="left"/>
        <w:rPr>
          <w:rFonts w:ascii="Symbol" w:hAnsi="Symbol"/>
          <w:color w:val="000000"/>
          <w:sz w:val="20"/>
        </w:rPr>
      </w:pPr>
      <w:r>
        <w:rPr>
          <w:rFonts w:ascii="Symbol" w:hAnsi="Symbol"/>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period ended December 31, 2023 of Gentherm Incorporated; </w:t>
      </w:r>
    </w:p>
    <w:p>
      <w:pPr>
        <w:pStyle w:val="TextBody"/>
        <w:bidi w:val="0"/>
        <w:spacing w:before="120" w:after="283"/>
        <w:jc w:val="left"/>
        <w:rPr>
          <w:rFonts w:ascii="Symbol" w:hAnsi="Symbol"/>
          <w:color w:val="000000"/>
          <w:sz w:val="20"/>
        </w:rPr>
      </w:pPr>
      <w:r>
        <w:rPr>
          <w:rFonts w:ascii="Symbol" w:hAnsi="Symbol"/>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Symbol" w:hAnsi="Symbol"/>
          <w:color w:val="000000"/>
          <w:sz w:val="20"/>
        </w:rPr>
      </w:pPr>
      <w:r>
        <w:rPr>
          <w:rFonts w:ascii="Symbol" w:hAnsi="Symbol"/>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Symbol" w:hAnsi="Symbol"/>
          <w:color w:val="000000"/>
          <w:sz w:val="20"/>
        </w:rPr>
      </w:pPr>
      <w:r>
        <w:rPr>
          <w:rFonts w:ascii="Symbol" w:hAnsi="Symbol"/>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Symbol" w:hAnsi="Symbol"/>
          <w:color w:val="000000"/>
          <w:sz w:val="20"/>
        </w:rPr>
      </w:pPr>
      <w:r>
        <w:rPr>
          <w:rFonts w:ascii="Symbol" w:hAnsi="Symbol"/>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Matteo Anversa</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Matteo Anversa</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8" w:name="thrm-ex32_1.htm"/>
      <w:bookmarkStart w:id="49" w:name="ksthrmex32_1"/>
      <w:bookmarkEnd w:id="48"/>
      <w:bookmarkEnd w:id="49"/>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ended December 31, 2023 of Gentherm Incorporated (the “Company”) as filed with the Securities and Exchange Commission on the date hereof (the “Report”), I, Phillip Eyler, President &amp; Chief Executive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Eyler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Eyler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r>
          </w:p>
        </w:tc>
      </w:tr>
      <w:tr>
        <w:trPr/>
        <w:tc>
          <w:tcPr>
            <w:tcW w:w="30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0" w:name="thrm-ex32_2.htm"/>
      <w:bookmarkStart w:id="51" w:name="ksthrmex32_2"/>
      <w:bookmarkEnd w:id="50"/>
      <w:bookmarkEnd w:id="51"/>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for the period ended December 31, 2023 of Gentherm Incorporated (the “Company”) as filed with the Securities and Exchange Commission on the date hereof (the “Report”), I, Matteo Anversa, Chief Financial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Matteo Anversa</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Matteo Anversa</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2024</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thrm-ex97.htm"/>
      <w:bookmarkStart w:id="53" w:name="ksthrmex97"/>
      <w:bookmarkEnd w:id="52"/>
      <w:bookmarkEnd w:id="53"/>
      <w:r>
        <w:rPr>
          <w:rFonts w:ascii="Times New Roman" w:hAnsi="Times New Roman"/>
          <w:b/>
          <w:color w:val="000000"/>
          <w:sz w:val="20"/>
        </w:rPr>
        <w:t>Exhibit 97</w:t>
      </w:r>
      <w:r>
        <w:br w:type="page"/>
      </w:r>
    </w:p>
    <w:p>
      <w:pPr>
        <w:pStyle w:val="TextBody"/>
        <w:bidi w:val="0"/>
        <w:spacing w:before="68" w:after="283"/>
        <w:jc w:val="center"/>
        <w:rPr>
          <w:rFonts w:ascii="Arial" w:hAnsi="Arial"/>
          <w:b/>
          <w:color w:val="000000"/>
          <w:sz w:val="22"/>
        </w:rPr>
      </w:pPr>
      <w:r>
        <w:rPr>
          <w:rFonts w:ascii="Arial" w:hAnsi="Arial"/>
          <w:b/>
          <w:color w:val="000000"/>
          <w:sz w:val="22"/>
        </w:rPr>
        <w:t>GENTHERM INCORPORATED</w:t>
      </w:r>
    </w:p>
    <w:p>
      <w:pPr>
        <w:pStyle w:val="TextBody"/>
        <w:bidi w:val="0"/>
        <w:spacing w:before="208" w:after="283"/>
        <w:jc w:val="center"/>
        <w:rPr>
          <w:rFonts w:ascii="Arial" w:hAnsi="Arial"/>
          <w:b/>
          <w:color w:val="000000"/>
          <w:sz w:val="22"/>
        </w:rPr>
      </w:pPr>
      <w:r>
        <w:rPr>
          <w:rFonts w:ascii="Arial" w:hAnsi="Arial"/>
          <w:b/>
          <w:color w:val="000000"/>
          <w:sz w:val="22"/>
        </w:rPr>
        <w:t>POLICY FOR THE RECOVERY OF ERRONEOUSLY AWARDED COMPENSATION</w:t>
      </w:r>
    </w:p>
    <w:p>
      <w:pPr>
        <w:pStyle w:val="TextBody"/>
        <w:bidi w:val="0"/>
        <w:spacing w:before="239" w:after="283"/>
        <w:jc w:val="both"/>
        <w:rPr>
          <w:rFonts w:ascii="Arial" w:hAnsi="Arial"/>
          <w:b/>
          <w:color w:val="000000"/>
          <w:sz w:val="22"/>
        </w:rPr>
      </w:pPr>
      <w:r>
        <w:rPr>
          <w:rFonts w:ascii="Arial" w:hAnsi="Arial"/>
          <w:b/>
          <w:color w:val="000000"/>
          <w:sz w:val="22"/>
        </w:rPr>
        <w:t>1.</w:t>
      </w:r>
    </w:p>
    <w:p>
      <w:pPr>
        <w:pStyle w:val="TextBody"/>
        <w:bidi w:val="0"/>
        <w:spacing w:before="239" w:after="283"/>
        <w:jc w:val="both"/>
        <w:rPr/>
      </w:pPr>
      <w:r>
        <w:rPr>
          <w:rFonts w:ascii="Arial" w:hAnsi="Arial"/>
          <w:b/>
          <w:color w:val="000000"/>
          <w:sz w:val="22"/>
        </w:rPr>
        <w:t>Purpose</w:t>
      </w:r>
      <w:r>
        <w:rPr>
          <w:rFonts w:ascii="Arial" w:hAnsi="Arial"/>
          <w:color w:val="000000"/>
          <w:sz w:val="22"/>
        </w:rPr>
        <w:t>. The Board of Directors (the “</w:t>
      </w:r>
      <w:r>
        <w:rPr>
          <w:rFonts w:ascii="Arial" w:hAnsi="Arial"/>
          <w:b/>
          <w:color w:val="000000"/>
          <w:sz w:val="22"/>
        </w:rPr>
        <w:t>Board</w:t>
      </w:r>
      <w:r>
        <w:rPr>
          <w:color w:val="000000"/>
        </w:rPr>
        <w:t>”</w:t>
      </w:r>
      <w:r>
        <w:rPr>
          <w:rFonts w:ascii="Arial" w:hAnsi="Arial"/>
          <w:color w:val="000000"/>
          <w:sz w:val="22"/>
        </w:rPr>
        <w:t>) of Gentherm Incorporated, a Michigan corporation (the “</w:t>
      </w:r>
      <w:r>
        <w:rPr>
          <w:rFonts w:ascii="Arial" w:hAnsi="Arial"/>
          <w:b/>
          <w:color w:val="000000"/>
          <w:sz w:val="22"/>
        </w:rPr>
        <w:t>Company</w:t>
      </w:r>
      <w:r>
        <w:rPr>
          <w:color w:val="000000"/>
        </w:rPr>
        <w:t>”</w:t>
      </w:r>
      <w:r>
        <w:rPr>
          <w:rFonts w:ascii="Arial" w:hAnsi="Arial"/>
          <w:color w:val="000000"/>
          <w:sz w:val="22"/>
        </w:rPr>
        <w:t>), believes that it is in the best interests of the Company and its shareholders to adopt this Policy for the Recovery of Erroneously Awarded Compensation, as may be amended from time to time (this “</w:t>
      </w:r>
      <w:r>
        <w:rPr>
          <w:rFonts w:ascii="Arial" w:hAnsi="Arial"/>
          <w:b/>
          <w:color w:val="000000"/>
          <w:sz w:val="22"/>
        </w:rPr>
        <w:t>Policy</w:t>
      </w:r>
      <w:r>
        <w:rPr>
          <w:color w:val="000000"/>
        </w:rPr>
        <w:t>”</w:t>
      </w:r>
      <w:r>
        <w:rPr>
          <w:rFonts w:ascii="Arial" w:hAnsi="Arial"/>
          <w:color w:val="000000"/>
          <w:sz w:val="22"/>
        </w:rPr>
        <w:t xml:space="preserve">). This Policy requires the recovery of Erroneously Awarded Compensation by the Company from Covered Executive Officers in accordance with the terms herein. Promptly, but in no event later than </w:t>
      </w:r>
      <w:r>
        <w:rPr>
          <w:rFonts w:ascii="Arial" w:hAnsi="Arial"/>
          <w:i/>
          <w:color w:val="000000"/>
          <w:sz w:val="22"/>
        </w:rPr>
        <w:t xml:space="preserve">30 </w:t>
      </w:r>
      <w:r>
        <w:rPr>
          <w:rFonts w:ascii="Arial" w:hAnsi="Arial"/>
          <w:color w:val="000000"/>
          <w:sz w:val="22"/>
        </w:rPr>
        <w:t xml:space="preserve">days, following the later of the Adoption Date or becoming a Covered Executive Officer, each Covered Executive Officer shall sign and return to the Company the Acknowledgement Form attached hereto as </w:t>
      </w:r>
      <w:r>
        <w:rPr>
          <w:rFonts w:ascii="Arial" w:hAnsi="Arial"/>
          <w:color w:val="000000"/>
          <w:sz w:val="22"/>
          <w:u w:val="single"/>
        </w:rPr>
        <w:t>Exhibit A</w:t>
      </w:r>
      <w:r>
        <w:rPr>
          <w:color w:val="000000"/>
        </w:rPr>
        <w:t xml:space="preserve"> </w:t>
      </w:r>
      <w:r>
        <w:rPr>
          <w:rFonts w:ascii="Arial" w:hAnsi="Arial"/>
          <w:color w:val="000000"/>
          <w:sz w:val="22"/>
        </w:rPr>
        <w:t>pursuant to which such Covered Executive Officer shall agree to be bound by the terms of and comply with this Policy. All capitalized terms used and not otherwise defined herein shall have the meanings set forth in Section 3 hereof.</w:t>
      </w:r>
    </w:p>
    <w:p>
      <w:pPr>
        <w:pStyle w:val="TextBody"/>
        <w:bidi w:val="0"/>
        <w:spacing w:before="239" w:after="283"/>
        <w:jc w:val="both"/>
        <w:rPr>
          <w:rFonts w:ascii="Arial" w:hAnsi="Arial"/>
          <w:b/>
          <w:color w:val="000000"/>
          <w:sz w:val="22"/>
        </w:rPr>
      </w:pPr>
      <w:r>
        <w:rPr>
          <w:rFonts w:ascii="Arial" w:hAnsi="Arial"/>
          <w:b/>
          <w:color w:val="000000"/>
          <w:sz w:val="22"/>
        </w:rPr>
        <w:t>2.</w:t>
      </w:r>
    </w:p>
    <w:p>
      <w:pPr>
        <w:pStyle w:val="TextBody"/>
        <w:bidi w:val="0"/>
        <w:spacing w:before="239" w:after="283"/>
        <w:jc w:val="both"/>
        <w:rPr/>
      </w:pPr>
      <w:r>
        <w:rPr>
          <w:rFonts w:ascii="Arial" w:hAnsi="Arial"/>
          <w:b/>
          <w:color w:val="000000"/>
          <w:sz w:val="22"/>
        </w:rPr>
        <w:t>Administration</w:t>
      </w:r>
      <w:r>
        <w:rPr>
          <w:rFonts w:ascii="Arial" w:hAnsi="Arial"/>
          <w:color w:val="000000"/>
          <w:sz w:val="22"/>
        </w:rPr>
        <w:t>. This Policy shall be administered by the Compensation and Talent Committee of the Board (the “</w:t>
      </w:r>
      <w:r>
        <w:rPr>
          <w:rFonts w:ascii="Arial" w:hAnsi="Arial"/>
          <w:b/>
          <w:color w:val="000000"/>
          <w:sz w:val="22"/>
        </w:rPr>
        <w:t>Compensation Committee</w:t>
      </w:r>
      <w:r>
        <w:rPr>
          <w:color w:val="000000"/>
        </w:rPr>
        <w:t>”</w:t>
      </w:r>
      <w:r>
        <w:rPr>
          <w:rFonts w:ascii="Arial" w:hAnsi="Arial"/>
          <w:color w:val="000000"/>
          <w:sz w:val="22"/>
        </w:rPr>
        <w:t>) or, if so designated by the Board, the Board or another committee thereof (the “</w:t>
      </w:r>
      <w:r>
        <w:rPr>
          <w:rFonts w:ascii="Arial" w:hAnsi="Arial"/>
          <w:b/>
          <w:color w:val="000000"/>
          <w:sz w:val="22"/>
        </w:rPr>
        <w:t>Administrator</w:t>
      </w:r>
      <w:r>
        <w:rPr>
          <w:color w:val="000000"/>
        </w:rPr>
        <w:t>”</w:t>
      </w:r>
      <w:r>
        <w:rPr>
          <w:rFonts w:ascii="Arial" w:hAnsi="Arial"/>
          <w:color w:val="000000"/>
          <w:sz w:val="22"/>
        </w:rPr>
        <w:t>). The Administrator is authorized to interpret and enforce this Policy and to make all determinations necessary, appropriate or advisable for the administration of this Policy. Any determinations made by the Administrator shall be final and binding on all affected persons and need not be uniform with respect to each person covered by this Policy. This Policy is designed to comply with, and shall be interpreted by the Administrator in a manner consistent with, Section 10D (“</w:t>
      </w:r>
      <w:r>
        <w:rPr>
          <w:rFonts w:ascii="Arial" w:hAnsi="Arial"/>
          <w:b/>
          <w:color w:val="000000"/>
          <w:sz w:val="22"/>
        </w:rPr>
        <w:t>Section 10D</w:t>
      </w:r>
      <w:r>
        <w:rPr>
          <w:color w:val="000000"/>
        </w:rPr>
        <w:t>”</w:t>
      </w:r>
      <w:r>
        <w:rPr>
          <w:rFonts w:ascii="Arial" w:hAnsi="Arial"/>
          <w:color w:val="000000"/>
          <w:sz w:val="22"/>
        </w:rPr>
        <w:t>) of the Securities Exchange Act of 1934 (the “</w:t>
      </w:r>
      <w:r>
        <w:rPr>
          <w:rFonts w:ascii="Arial" w:hAnsi="Arial"/>
          <w:b/>
          <w:color w:val="000000"/>
          <w:sz w:val="22"/>
        </w:rPr>
        <w:t>Exchange Act</w:t>
      </w:r>
      <w:r>
        <w:rPr>
          <w:color w:val="000000"/>
        </w:rPr>
        <w:t>”</w:t>
      </w:r>
      <w:r>
        <w:rPr>
          <w:rFonts w:ascii="Arial" w:hAnsi="Arial"/>
          <w:color w:val="000000"/>
          <w:sz w:val="22"/>
        </w:rPr>
        <w:t>), Rule 10D-1 promulgated under the Exchange Act (“</w:t>
      </w:r>
      <w:r>
        <w:rPr>
          <w:rFonts w:ascii="Arial" w:hAnsi="Arial"/>
          <w:b/>
          <w:color w:val="000000"/>
          <w:sz w:val="22"/>
        </w:rPr>
        <w:t>Rule 10D-1</w:t>
      </w:r>
      <w:r>
        <w:rPr>
          <w:color w:val="000000"/>
        </w:rPr>
        <w:t>”</w:t>
      </w:r>
      <w:r>
        <w:rPr>
          <w:rFonts w:ascii="Arial" w:hAnsi="Arial"/>
          <w:color w:val="000000"/>
          <w:sz w:val="22"/>
        </w:rPr>
        <w:t>) and Nasdaq Listing Rule 5608 (the “</w:t>
      </w:r>
      <w:r>
        <w:rPr>
          <w:rFonts w:ascii="Arial" w:hAnsi="Arial"/>
          <w:b/>
          <w:color w:val="000000"/>
          <w:sz w:val="22"/>
        </w:rPr>
        <w:t>Listing Standards</w:t>
      </w:r>
      <w:r>
        <w:rPr>
          <w:color w:val="000000"/>
        </w:rPr>
        <w:t>”</w:t>
      </w:r>
      <w:r>
        <w:rPr>
          <w:rFonts w:ascii="Arial" w:hAnsi="Arial"/>
          <w:color w:val="000000"/>
          <w:sz w:val="22"/>
        </w:rPr>
        <w:t>), each as may be amended from time to time. In the administration of this Policy, the Administrator is authorized to consult with the full Board or other committees of the Board, as well as retain any counsel, advisors and consultants.</w:t>
      </w:r>
    </w:p>
    <w:p>
      <w:pPr>
        <w:pStyle w:val="TextBody"/>
        <w:bidi w:val="0"/>
        <w:spacing w:before="243" w:after="283"/>
        <w:jc w:val="both"/>
        <w:rPr>
          <w:rFonts w:ascii="Arial" w:hAnsi="Arial"/>
          <w:b/>
          <w:color w:val="000000"/>
          <w:sz w:val="22"/>
        </w:rPr>
      </w:pPr>
      <w:r>
        <w:rPr>
          <w:rFonts w:ascii="Arial" w:hAnsi="Arial"/>
          <w:b/>
          <w:color w:val="000000"/>
          <w:sz w:val="22"/>
        </w:rPr>
        <w:t>3.</w:t>
      </w:r>
    </w:p>
    <w:p>
      <w:pPr>
        <w:pStyle w:val="TextBody"/>
        <w:bidi w:val="0"/>
        <w:spacing w:before="243" w:after="283"/>
        <w:jc w:val="both"/>
        <w:rPr/>
      </w:pPr>
      <w:r>
        <w:rPr>
          <w:rFonts w:ascii="Arial" w:hAnsi="Arial"/>
          <w:b/>
          <w:color w:val="000000"/>
          <w:sz w:val="22"/>
        </w:rPr>
        <w:t>Definitions</w:t>
      </w:r>
      <w:r>
        <w:rPr>
          <w:rFonts w:ascii="Arial" w:hAnsi="Arial"/>
          <w:color w:val="000000"/>
          <w:sz w:val="22"/>
        </w:rPr>
        <w:t>. For purposes of this Policy, the following capitalized terms shall have the meanings set forth below.</w:t>
      </w:r>
    </w:p>
    <w:p>
      <w:pPr>
        <w:pStyle w:val="TextBody"/>
        <w:bidi w:val="0"/>
        <w:spacing w:before="240" w:after="283"/>
        <w:jc w:val="both"/>
        <w:rPr>
          <w:rFonts w:ascii="Arial" w:hAnsi="Arial"/>
          <w:b/>
          <w:color w:val="000000"/>
          <w:sz w:val="22"/>
        </w:rPr>
      </w:pPr>
      <w:r>
        <w:rPr>
          <w:rFonts w:ascii="Arial" w:hAnsi="Arial"/>
          <w:b/>
          <w:color w:val="000000"/>
          <w:sz w:val="22"/>
        </w:rPr>
        <w:t>(a)</w:t>
      </w:r>
    </w:p>
    <w:p>
      <w:pPr>
        <w:pStyle w:val="TextBody"/>
        <w:bidi w:val="0"/>
        <w:spacing w:before="240" w:after="283"/>
        <w:jc w:val="both"/>
        <w:rPr/>
      </w:pPr>
      <w:r>
        <w:rPr>
          <w:color w:val="000000"/>
        </w:rPr>
        <w:t>“</w:t>
      </w:r>
      <w:r>
        <w:rPr>
          <w:rFonts w:ascii="Arial" w:hAnsi="Arial"/>
          <w:b/>
          <w:i/>
          <w:color w:val="000000"/>
          <w:sz w:val="22"/>
        </w:rPr>
        <w:t>Accounting Restatement</w:t>
      </w:r>
      <w:r>
        <w:rPr>
          <w:color w:val="000000"/>
        </w:rPr>
        <w:t xml:space="preserve">” </w:t>
      </w:r>
      <w:r>
        <w:rPr>
          <w:rFonts w:ascii="Arial" w:hAnsi="Arial"/>
          <w:color w:val="000000"/>
          <w:sz w:val="22"/>
        </w:rPr>
        <w:t>means an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is not material to the previously issued financial statements but that would have resulted in a material misstatement if the error were corrected in the current period or left uncorrected in the current period.</w:t>
      </w:r>
    </w:p>
    <w:p>
      <w:pPr>
        <w:pStyle w:val="TextBody"/>
        <w:bidi w:val="0"/>
        <w:spacing w:before="238" w:after="283"/>
        <w:jc w:val="left"/>
        <w:rPr>
          <w:rFonts w:ascii="Arial" w:hAnsi="Arial"/>
          <w:b/>
          <w:color w:val="000000"/>
          <w:sz w:val="22"/>
        </w:rPr>
      </w:pPr>
      <w:r>
        <w:rPr>
          <w:rFonts w:ascii="Arial" w:hAnsi="Arial"/>
          <w:b/>
          <w:color w:val="000000"/>
          <w:sz w:val="22"/>
        </w:rPr>
        <w:t>(b)</w:t>
      </w:r>
    </w:p>
    <w:p>
      <w:pPr>
        <w:pStyle w:val="TextBody"/>
        <w:bidi w:val="0"/>
        <w:spacing w:before="238" w:after="283"/>
        <w:jc w:val="left"/>
        <w:rPr/>
      </w:pPr>
      <w:r>
        <w:rPr>
          <w:color w:val="000000"/>
        </w:rPr>
        <w:t>“</w:t>
      </w:r>
      <w:r>
        <w:rPr>
          <w:rFonts w:ascii="Arial" w:hAnsi="Arial"/>
          <w:b/>
          <w:i/>
          <w:color w:val="000000"/>
          <w:sz w:val="22"/>
        </w:rPr>
        <w:t>Adoption Date</w:t>
      </w:r>
      <w:r>
        <w:rPr>
          <w:color w:val="000000"/>
        </w:rPr>
        <w:t xml:space="preserve">” </w:t>
      </w:r>
      <w:r>
        <w:rPr>
          <w:rFonts w:ascii="Arial" w:hAnsi="Arial"/>
          <w:color w:val="000000"/>
          <w:sz w:val="22"/>
        </w:rPr>
        <w:t>means November 9, 2023.</w:t>
      </w:r>
    </w:p>
    <w:p>
      <w:pPr>
        <w:pStyle w:val="TextBody"/>
        <w:bidi w:val="0"/>
        <w:spacing w:before="242" w:after="283"/>
        <w:jc w:val="both"/>
        <w:rPr>
          <w:rFonts w:ascii="Arial" w:hAnsi="Arial"/>
          <w:b/>
          <w:color w:val="000000"/>
          <w:sz w:val="22"/>
        </w:rPr>
      </w:pPr>
      <w:r>
        <w:rPr>
          <w:rFonts w:ascii="Arial" w:hAnsi="Arial"/>
          <w:b/>
          <w:color w:val="000000"/>
          <w:sz w:val="22"/>
        </w:rPr>
        <w:t>(c)</w:t>
      </w:r>
    </w:p>
    <w:p>
      <w:pPr>
        <w:pStyle w:val="TextBody"/>
        <w:bidi w:val="0"/>
        <w:spacing w:before="242" w:after="283"/>
        <w:jc w:val="both"/>
        <w:rPr/>
      </w:pPr>
      <w:r>
        <w:rPr>
          <w:color w:val="000000"/>
        </w:rPr>
        <w:t>“</w:t>
      </w:r>
      <w:r>
        <w:rPr>
          <w:rFonts w:ascii="Arial" w:hAnsi="Arial"/>
          <w:b/>
          <w:i/>
          <w:color w:val="000000"/>
          <w:sz w:val="22"/>
        </w:rPr>
        <w:t>Clawback Eligible Incentive Compensation</w:t>
      </w:r>
      <w:r>
        <w:rPr>
          <w:color w:val="000000"/>
        </w:rPr>
        <w:t xml:space="preserve">” </w:t>
      </w:r>
      <w:r>
        <w:rPr>
          <w:rFonts w:ascii="Arial" w:hAnsi="Arial"/>
          <w:color w:val="000000"/>
          <w:sz w:val="22"/>
        </w:rPr>
        <w:t>means all Incentive-Based Compensation Received by a Covered Executive Officer (i) on or after the Effective Date, (ii) if that person served as an executive officer at any time during the performance period for such Incentive-Based Compensation (whether or not such executive officer is serving as an executive officer or employee of the Company at the time the Erroneously Awarded Compensation is required to be recovered by the Company), and (iii) while the Company had a class of securities listed on a national securities exchange or a national securities association.</w:t>
      </w:r>
    </w:p>
    <w:p>
      <w:pPr>
        <w:pStyle w:val="TextBody"/>
        <w:bidi w:val="0"/>
        <w:spacing w:before="240" w:after="283"/>
        <w:jc w:val="both"/>
        <w:rPr>
          <w:rFonts w:ascii="Arial" w:hAnsi="Arial"/>
          <w:b/>
          <w:color w:val="000000"/>
          <w:sz w:val="22"/>
        </w:rPr>
      </w:pPr>
      <w:r>
        <w:rPr>
          <w:rFonts w:ascii="Arial" w:hAnsi="Arial"/>
          <w:b/>
          <w:color w:val="000000"/>
          <w:sz w:val="22"/>
        </w:rPr>
        <w:t>(d)</w:t>
      </w:r>
    </w:p>
    <w:p>
      <w:pPr>
        <w:pStyle w:val="TextBody"/>
        <w:bidi w:val="0"/>
        <w:spacing w:before="240" w:after="283"/>
        <w:jc w:val="both"/>
        <w:rPr/>
      </w:pPr>
      <w:r>
        <w:rPr>
          <w:color w:val="000000"/>
        </w:rPr>
        <w:t>“</w:t>
      </w:r>
      <w:r>
        <w:rPr>
          <w:rFonts w:ascii="Arial" w:hAnsi="Arial"/>
          <w:b/>
          <w:i/>
          <w:color w:val="000000"/>
          <w:sz w:val="22"/>
        </w:rPr>
        <w:t>Clawback Period</w:t>
      </w:r>
      <w:r>
        <w:rPr>
          <w:color w:val="000000"/>
        </w:rPr>
        <w:t xml:space="preserve">” </w:t>
      </w:r>
      <w:r>
        <w:rPr>
          <w:rFonts w:ascii="Arial" w:hAnsi="Arial"/>
          <w:color w:val="000000"/>
          <w:sz w:val="22"/>
        </w:rPr>
        <w:t>means with respect to any Accounting Restatement, (i) the three completed fiscal years of the Company immediately preceding the Restatement Date and</w:t>
      </w:r>
    </w:p>
    <w:p>
      <w:pPr>
        <w:pStyle w:val="TextBody"/>
        <w:bidi w:val="0"/>
        <w:spacing w:before="1" w:after="283"/>
        <w:jc w:val="both"/>
        <w:rPr>
          <w:rFonts w:ascii="Arial" w:hAnsi="Arial"/>
          <w:color w:val="000000"/>
          <w:sz w:val="22"/>
        </w:rPr>
      </w:pPr>
      <w:r>
        <w:rPr>
          <w:rFonts w:ascii="Arial" w:hAnsi="Arial"/>
          <w:color w:val="000000"/>
          <w:sz w:val="22"/>
        </w:rPr>
        <w:t>(ii) any transition period that results from a change in the Company’s fiscal year of less than nine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69" w:after="283"/>
        <w:jc w:val="both"/>
        <w:rPr>
          <w:rFonts w:ascii="Arial" w:hAnsi="Arial"/>
          <w:color w:val="000000"/>
          <w:sz w:val="22"/>
        </w:rPr>
      </w:pPr>
      <w:r>
        <w:rPr>
          <w:rFonts w:ascii="Arial" w:hAnsi="Arial"/>
          <w:color w:val="000000"/>
          <w:sz w:val="22"/>
        </w:rPr>
        <w:t>months within or immediately following such three completed fiscal years; provided that a transition period that comprises a period of at least nine months shall count as a completed fiscal year.</w:t>
      </w:r>
    </w:p>
    <w:p>
      <w:pPr>
        <w:pStyle w:val="TextBody"/>
        <w:bidi w:val="0"/>
        <w:spacing w:before="239" w:after="283"/>
        <w:jc w:val="both"/>
        <w:rPr>
          <w:rFonts w:ascii="Arial" w:hAnsi="Arial"/>
          <w:b/>
          <w:color w:val="000000"/>
          <w:sz w:val="22"/>
        </w:rPr>
      </w:pPr>
      <w:r>
        <w:rPr>
          <w:rFonts w:ascii="Arial" w:hAnsi="Arial"/>
          <w:b/>
          <w:color w:val="000000"/>
          <w:sz w:val="22"/>
        </w:rPr>
        <w:t>(e)</w:t>
      </w:r>
    </w:p>
    <w:p>
      <w:pPr>
        <w:pStyle w:val="TextBody"/>
        <w:bidi w:val="0"/>
        <w:spacing w:before="239" w:after="283"/>
        <w:jc w:val="both"/>
        <w:rPr/>
      </w:pPr>
      <w:r>
        <w:rPr>
          <w:color w:val="000000"/>
        </w:rPr>
        <w:t>“</w:t>
      </w:r>
      <w:r>
        <w:rPr>
          <w:rFonts w:ascii="Arial" w:hAnsi="Arial"/>
          <w:b/>
          <w:i/>
          <w:color w:val="000000"/>
          <w:sz w:val="22"/>
        </w:rPr>
        <w:t>Code</w:t>
      </w:r>
      <w:r>
        <w:rPr>
          <w:color w:val="000000"/>
        </w:rPr>
        <w:t xml:space="preserve">” </w:t>
      </w:r>
      <w:r>
        <w:rPr>
          <w:rFonts w:ascii="Arial" w:hAnsi="Arial"/>
          <w:color w:val="000000"/>
          <w:sz w:val="22"/>
        </w:rPr>
        <w:t>means the Internal Revenue Code of 1986, as amended, and the regulations and guidance issued thereunder.</w:t>
      </w:r>
    </w:p>
    <w:p>
      <w:pPr>
        <w:pStyle w:val="TextBody"/>
        <w:bidi w:val="0"/>
        <w:spacing w:before="241" w:after="283"/>
        <w:jc w:val="both"/>
        <w:rPr>
          <w:rFonts w:ascii="Arial" w:hAnsi="Arial"/>
          <w:b/>
          <w:color w:val="000000"/>
          <w:sz w:val="22"/>
        </w:rPr>
      </w:pPr>
      <w:r>
        <w:rPr>
          <w:rFonts w:ascii="Arial" w:hAnsi="Arial"/>
          <w:b/>
          <w:color w:val="000000"/>
          <w:sz w:val="22"/>
        </w:rPr>
        <w:t>(f)</w:t>
      </w:r>
    </w:p>
    <w:p>
      <w:pPr>
        <w:pStyle w:val="TextBody"/>
        <w:bidi w:val="0"/>
        <w:spacing w:before="241" w:after="283"/>
        <w:jc w:val="both"/>
        <w:rPr/>
      </w:pPr>
      <w:r>
        <w:rPr>
          <w:color w:val="000000"/>
        </w:rPr>
        <w:t>“</w:t>
      </w:r>
      <w:r>
        <w:rPr>
          <w:rFonts w:ascii="Arial" w:hAnsi="Arial"/>
          <w:b/>
          <w:i/>
          <w:color w:val="000000"/>
          <w:sz w:val="22"/>
        </w:rPr>
        <w:t>Covered Executive Officer</w:t>
      </w:r>
      <w:r>
        <w:rPr>
          <w:color w:val="000000"/>
        </w:rPr>
        <w:t xml:space="preserve">” </w:t>
      </w:r>
      <w:r>
        <w:rPr>
          <w:rFonts w:ascii="Arial" w:hAnsi="Arial"/>
          <w:color w:val="000000"/>
          <w:sz w:val="22"/>
        </w:rPr>
        <w:t>means the Company’s current and former executive officers, as determined by the Board or an applicable committee in accordance with the definition of “executive officer” set forth in Rule 10D-1 and the Listing Standards. Unless determined otherwise by the Board or the Administrator, Covered Executive Officers for this Policy shall be any person designated by the Board as an “officer” under Rule 16a-1(f) under the Exchange Act.</w:t>
      </w:r>
    </w:p>
    <w:p>
      <w:pPr>
        <w:pStyle w:val="TextBody"/>
        <w:bidi w:val="0"/>
        <w:spacing w:before="242" w:after="283"/>
        <w:jc w:val="left"/>
        <w:rPr>
          <w:rFonts w:ascii="Arial" w:hAnsi="Arial"/>
          <w:b/>
          <w:color w:val="000000"/>
          <w:sz w:val="22"/>
        </w:rPr>
      </w:pPr>
      <w:r>
        <w:rPr>
          <w:rFonts w:ascii="Arial" w:hAnsi="Arial"/>
          <w:b/>
          <w:color w:val="000000"/>
          <w:sz w:val="22"/>
        </w:rPr>
        <w:t>(g)</w:t>
      </w:r>
    </w:p>
    <w:p>
      <w:pPr>
        <w:pStyle w:val="TextBody"/>
        <w:bidi w:val="0"/>
        <w:spacing w:before="242" w:after="283"/>
        <w:jc w:val="left"/>
        <w:rPr/>
      </w:pPr>
      <w:r>
        <w:rPr>
          <w:color w:val="000000"/>
        </w:rPr>
        <w:t>“</w:t>
      </w:r>
      <w:r>
        <w:rPr>
          <w:rFonts w:ascii="Arial" w:hAnsi="Arial"/>
          <w:b/>
          <w:i/>
          <w:color w:val="000000"/>
          <w:sz w:val="22"/>
        </w:rPr>
        <w:t>Effective Date</w:t>
      </w:r>
      <w:r>
        <w:rPr>
          <w:color w:val="000000"/>
        </w:rPr>
        <w:t xml:space="preserve">” </w:t>
      </w:r>
      <w:r>
        <w:rPr>
          <w:rFonts w:ascii="Arial" w:hAnsi="Arial"/>
          <w:color w:val="000000"/>
          <w:sz w:val="22"/>
        </w:rPr>
        <w:t>means October 2, 2023.</w:t>
      </w:r>
    </w:p>
    <w:p>
      <w:pPr>
        <w:pStyle w:val="TextBody"/>
        <w:bidi w:val="0"/>
        <w:spacing w:before="239" w:after="283"/>
        <w:jc w:val="both"/>
        <w:rPr>
          <w:rFonts w:ascii="Arial" w:hAnsi="Arial"/>
          <w:b/>
          <w:color w:val="000000"/>
          <w:sz w:val="22"/>
        </w:rPr>
      </w:pPr>
      <w:r>
        <w:rPr>
          <w:rFonts w:ascii="Arial" w:hAnsi="Arial"/>
          <w:b/>
          <w:color w:val="000000"/>
          <w:sz w:val="22"/>
        </w:rPr>
        <w:t>(h)</w:t>
      </w:r>
    </w:p>
    <w:p>
      <w:pPr>
        <w:pStyle w:val="TextBody"/>
        <w:bidi w:val="0"/>
        <w:spacing w:before="239" w:after="283"/>
        <w:jc w:val="both"/>
        <w:rPr/>
      </w:pPr>
      <w:r>
        <w:rPr>
          <w:color w:val="000000"/>
        </w:rPr>
        <w:t>“</w:t>
      </w:r>
      <w:r>
        <w:rPr>
          <w:rFonts w:ascii="Arial" w:hAnsi="Arial"/>
          <w:b/>
          <w:i/>
          <w:color w:val="000000"/>
          <w:sz w:val="22"/>
        </w:rPr>
        <w:t>Erroneously Awarded Compensation</w:t>
      </w:r>
      <w:r>
        <w:rPr>
          <w:color w:val="000000"/>
        </w:rPr>
        <w:t xml:space="preserve">” </w:t>
      </w:r>
      <w:r>
        <w:rPr>
          <w:rFonts w:ascii="Arial" w:hAnsi="Arial"/>
          <w:color w:val="000000"/>
          <w:sz w:val="22"/>
        </w:rPr>
        <w:t>means with respect to each Covered Executive Officer and in connection with an Accounting Restatement, the amount of Clawback Eligible Incentive Compensation Received by the Covered Executive Officer during the Clawback Period that exceeds the amount of Clawback Eligible Incentive-Based Compensation that otherwise would have been Received by the Covered Executive Officer during the Clawback Period had it been determined based on the restated amounts, computed without regard to any taxes paid or payable by the Covered Executive Officer.</w:t>
      </w:r>
    </w:p>
    <w:p>
      <w:pPr>
        <w:pStyle w:val="TextBody"/>
        <w:bidi w:val="0"/>
        <w:spacing w:before="240" w:after="283"/>
        <w:jc w:val="both"/>
        <w:rPr>
          <w:rFonts w:ascii="Arial" w:hAnsi="Arial"/>
          <w:b/>
          <w:color w:val="000000"/>
          <w:sz w:val="22"/>
        </w:rPr>
      </w:pPr>
      <w:r>
        <w:rPr>
          <w:rFonts w:ascii="Arial" w:hAnsi="Arial"/>
          <w:b/>
          <w:color w:val="000000"/>
          <w:sz w:val="22"/>
        </w:rPr>
        <w:t>(i)</w:t>
      </w:r>
    </w:p>
    <w:p>
      <w:pPr>
        <w:pStyle w:val="TextBody"/>
        <w:bidi w:val="0"/>
        <w:spacing w:before="240" w:after="283"/>
        <w:jc w:val="both"/>
        <w:rPr/>
      </w:pPr>
      <w:r>
        <w:rPr>
          <w:color w:val="000000"/>
        </w:rPr>
        <w:t>“</w:t>
      </w:r>
      <w:r>
        <w:rPr>
          <w:rFonts w:ascii="Arial" w:hAnsi="Arial"/>
          <w:b/>
          <w:i/>
          <w:color w:val="000000"/>
          <w:sz w:val="22"/>
        </w:rPr>
        <w:t>Financial Reporting Measures</w:t>
      </w:r>
      <w:r>
        <w:rPr>
          <w:color w:val="000000"/>
        </w:rPr>
        <w:t xml:space="preserve">” </w:t>
      </w:r>
      <w:r>
        <w:rPr>
          <w:rFonts w:ascii="Arial" w:hAnsi="Arial"/>
          <w:color w:val="000000"/>
          <w:sz w:val="22"/>
        </w:rPr>
        <w:t>means measures that are determined and presented in accordance with the accounting principles used in preparing the Company’s financial statements, and any other measures that are derived wholly or in part from such measures.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store sales; revenue per user, or average revenue per user; and any adjusted measure of any of the foregoing measures. For the avoidance of doubt, a Financial Reporting Measure need not be presented in the Company’s financial statements or included in a Company filing with the SEC.</w:t>
      </w:r>
    </w:p>
    <w:p>
      <w:pPr>
        <w:pStyle w:val="TextBody"/>
        <w:bidi w:val="0"/>
        <w:spacing w:before="241" w:after="283"/>
        <w:jc w:val="both"/>
        <w:rPr>
          <w:rFonts w:ascii="Arial" w:hAnsi="Arial"/>
          <w:b/>
          <w:color w:val="000000"/>
          <w:sz w:val="22"/>
        </w:rPr>
      </w:pPr>
      <w:r>
        <w:rPr>
          <w:rFonts w:ascii="Arial" w:hAnsi="Arial"/>
          <w:b/>
          <w:color w:val="000000"/>
          <w:sz w:val="22"/>
        </w:rPr>
        <w:t>(j)</w:t>
      </w:r>
    </w:p>
    <w:p>
      <w:pPr>
        <w:pStyle w:val="TextBody"/>
        <w:bidi w:val="0"/>
        <w:spacing w:before="241" w:after="283"/>
        <w:jc w:val="both"/>
        <w:rPr/>
      </w:pPr>
      <w:r>
        <w:rPr>
          <w:color w:val="000000"/>
        </w:rPr>
        <w:t>“</w:t>
      </w:r>
      <w:r>
        <w:rPr>
          <w:rFonts w:ascii="Arial" w:hAnsi="Arial"/>
          <w:b/>
          <w:i/>
          <w:color w:val="000000"/>
          <w:sz w:val="22"/>
        </w:rPr>
        <w:t>Group Companies</w:t>
      </w:r>
      <w:r>
        <w:rPr>
          <w:color w:val="000000"/>
        </w:rPr>
        <w:t xml:space="preserve">” </w:t>
      </w:r>
      <w:r>
        <w:rPr>
          <w:rFonts w:ascii="Arial" w:hAnsi="Arial"/>
          <w:color w:val="000000"/>
          <w:sz w:val="22"/>
        </w:rPr>
        <w:t>means any of the Company’s direct and indirect subsidiaries and affiliates.</w:t>
      </w:r>
    </w:p>
    <w:p>
      <w:pPr>
        <w:pStyle w:val="TextBody"/>
        <w:bidi w:val="0"/>
        <w:spacing w:before="238" w:after="283"/>
        <w:jc w:val="both"/>
        <w:rPr>
          <w:rFonts w:ascii="Arial" w:hAnsi="Arial"/>
          <w:b/>
          <w:color w:val="000000"/>
          <w:sz w:val="22"/>
        </w:rPr>
      </w:pPr>
      <w:r>
        <w:rPr>
          <w:rFonts w:ascii="Arial" w:hAnsi="Arial"/>
          <w:b/>
          <w:color w:val="000000"/>
          <w:sz w:val="22"/>
        </w:rPr>
        <w:t>(k)</w:t>
      </w:r>
    </w:p>
    <w:p>
      <w:pPr>
        <w:pStyle w:val="TextBody"/>
        <w:bidi w:val="0"/>
        <w:spacing w:before="238" w:after="283"/>
        <w:jc w:val="both"/>
        <w:rPr/>
      </w:pPr>
      <w:r>
        <w:rPr>
          <w:color w:val="000000"/>
        </w:rPr>
        <w:t>“</w:t>
      </w:r>
      <w:r>
        <w:rPr>
          <w:rFonts w:ascii="Arial" w:hAnsi="Arial"/>
          <w:b/>
          <w:i/>
          <w:color w:val="000000"/>
          <w:sz w:val="22"/>
        </w:rPr>
        <w:t>Incentive-Based Compensation</w:t>
      </w:r>
      <w:r>
        <w:rPr>
          <w:color w:val="000000"/>
        </w:rPr>
        <w:t xml:space="preserve">” </w:t>
      </w:r>
      <w:r>
        <w:rPr>
          <w:rFonts w:ascii="Arial" w:hAnsi="Arial"/>
          <w:color w:val="000000"/>
          <w:sz w:val="22"/>
        </w:rPr>
        <w:t>means any compensation that is granted, earned or vested based wholly or in part upon the attainment of a Financial Reporting Measure.</w:t>
      </w:r>
    </w:p>
    <w:p>
      <w:pPr>
        <w:pStyle w:val="TextBody"/>
        <w:bidi w:val="0"/>
        <w:spacing w:before="236" w:after="283"/>
        <w:jc w:val="both"/>
        <w:rPr>
          <w:rFonts w:ascii="Arial" w:hAnsi="Arial"/>
          <w:b/>
          <w:color w:val="000000"/>
          <w:sz w:val="22"/>
        </w:rPr>
      </w:pPr>
      <w:r>
        <w:rPr>
          <w:rFonts w:ascii="Arial" w:hAnsi="Arial"/>
          <w:b/>
          <w:color w:val="000000"/>
          <w:sz w:val="22"/>
        </w:rPr>
        <w:t>(l)</w:t>
      </w:r>
    </w:p>
    <w:p>
      <w:pPr>
        <w:pStyle w:val="TextBody"/>
        <w:bidi w:val="0"/>
        <w:spacing w:before="236" w:after="283"/>
        <w:jc w:val="both"/>
        <w:rPr/>
      </w:pPr>
      <w:r>
        <w:rPr>
          <w:color w:val="000000"/>
        </w:rPr>
        <w:t>“</w:t>
      </w:r>
      <w:r>
        <w:rPr>
          <w:rFonts w:ascii="Arial" w:hAnsi="Arial"/>
          <w:b/>
          <w:i/>
          <w:color w:val="000000"/>
          <w:sz w:val="22"/>
        </w:rPr>
        <w:t>Nasdaq</w:t>
      </w:r>
      <w:r>
        <w:rPr>
          <w:color w:val="000000"/>
        </w:rPr>
        <w:t xml:space="preserve">” </w:t>
      </w:r>
      <w:r>
        <w:rPr>
          <w:rFonts w:ascii="Arial" w:hAnsi="Arial"/>
          <w:color w:val="000000"/>
          <w:sz w:val="22"/>
        </w:rPr>
        <w:t>means The Nasdaq Stock Market or any other national securities exchange or association on which the Company’s securities are listed as of the applicable date.</w:t>
      </w:r>
    </w:p>
    <w:p>
      <w:pPr>
        <w:pStyle w:val="TextBody"/>
        <w:bidi w:val="0"/>
        <w:spacing w:before="240" w:after="283"/>
        <w:jc w:val="both"/>
        <w:rPr>
          <w:rFonts w:ascii="Arial" w:hAnsi="Arial"/>
          <w:b/>
          <w:color w:val="000000"/>
          <w:sz w:val="22"/>
        </w:rPr>
      </w:pPr>
      <w:r>
        <w:rPr>
          <w:rFonts w:ascii="Arial" w:hAnsi="Arial"/>
          <w:b/>
          <w:color w:val="000000"/>
          <w:sz w:val="22"/>
        </w:rPr>
        <w:t>(m)</w:t>
      </w:r>
    </w:p>
    <w:p>
      <w:pPr>
        <w:pStyle w:val="TextBody"/>
        <w:bidi w:val="0"/>
        <w:spacing w:before="240" w:after="283"/>
        <w:jc w:val="both"/>
        <w:rPr/>
      </w:pPr>
      <w:r>
        <w:rPr>
          <w:color w:val="000000"/>
        </w:rPr>
        <w:t>“</w:t>
      </w:r>
      <w:r>
        <w:rPr>
          <w:rFonts w:ascii="Arial" w:hAnsi="Arial"/>
          <w:b/>
          <w:i/>
          <w:color w:val="000000"/>
          <w:sz w:val="22"/>
        </w:rPr>
        <w:t>Received</w:t>
      </w:r>
      <w:r>
        <w:rPr>
          <w:color w:val="000000"/>
        </w:rPr>
        <w:t xml:space="preserve">” </w:t>
      </w:r>
      <w:r>
        <w:rPr>
          <w:rFonts w:ascii="Arial" w:hAnsi="Arial"/>
          <w:color w:val="000000"/>
          <w:sz w:val="22"/>
        </w:rPr>
        <w:t>means with respect to any Incentive-Based Compensation, actual or deemed receipt. Incentive-Based Compensation shall be deemed to be Received in the Company’s fiscal period during which the Financial Reporting Measure specified in the Incentive-Based Compensation award is attained, even if payment or grant of the earned Incentive-Based Compensation occurs after the end of the performance period. For the avoidance of doubt, Incentive-Based Compensation that is subject to both a Financial Reporting</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69" w:after="283"/>
        <w:jc w:val="both"/>
        <w:rPr>
          <w:rFonts w:ascii="Arial" w:hAnsi="Arial"/>
          <w:color w:val="000000"/>
          <w:sz w:val="22"/>
        </w:rPr>
      </w:pPr>
      <w:r>
        <w:rPr>
          <w:rFonts w:ascii="Arial" w:hAnsi="Arial"/>
          <w:color w:val="000000"/>
          <w:sz w:val="22"/>
        </w:rPr>
        <w:t>Measure vesting condition and a service-based vesting condition shall be considered Received when the relevant Financial Reporting Measure is attained, even if the Incentive-Based Compensation continues to be subject to the service-based vesting condition.</w:t>
      </w:r>
    </w:p>
    <w:p>
      <w:pPr>
        <w:pStyle w:val="TextBody"/>
        <w:bidi w:val="0"/>
        <w:spacing w:before="239" w:after="283"/>
        <w:jc w:val="both"/>
        <w:rPr>
          <w:rFonts w:ascii="Arial" w:hAnsi="Arial"/>
          <w:b/>
          <w:color w:val="000000"/>
          <w:sz w:val="22"/>
        </w:rPr>
      </w:pPr>
      <w:r>
        <w:rPr>
          <w:rFonts w:ascii="Arial" w:hAnsi="Arial"/>
          <w:b/>
          <w:color w:val="000000"/>
          <w:sz w:val="22"/>
        </w:rPr>
        <w:t>(n)</w:t>
      </w:r>
    </w:p>
    <w:p>
      <w:pPr>
        <w:pStyle w:val="TextBody"/>
        <w:bidi w:val="0"/>
        <w:spacing w:before="239" w:after="283"/>
        <w:jc w:val="both"/>
        <w:rPr/>
      </w:pPr>
      <w:r>
        <w:rPr>
          <w:color w:val="000000"/>
        </w:rPr>
        <w:t>“</w:t>
      </w:r>
      <w:r>
        <w:rPr>
          <w:rFonts w:ascii="Arial" w:hAnsi="Arial"/>
          <w:b/>
          <w:i/>
          <w:color w:val="000000"/>
          <w:sz w:val="22"/>
        </w:rPr>
        <w:t>Restatement Date</w:t>
      </w:r>
      <w:r>
        <w:rPr>
          <w:color w:val="000000"/>
        </w:rPr>
        <w:t xml:space="preserve">” </w:t>
      </w:r>
      <w:r>
        <w:rPr>
          <w:rFonts w:ascii="Arial" w:hAnsi="Arial"/>
          <w:color w:val="000000"/>
          <w:sz w:val="22"/>
        </w:rPr>
        <w:t>means the earlier to occur of (i) the date that the Board, a committee thereof or any of the Company’s officers authorized to take such action if Board action is not required concluded, or reasonably should have concluded, that the Company is required to prepare an Accounting Restatement; or (ii) the date that a court, regulator or other legally authorized body directs the Company to prepare an Accounting Restatement, in each case regardless of when the restated financial statements are filed.</w:t>
      </w:r>
    </w:p>
    <w:p>
      <w:pPr>
        <w:pStyle w:val="TextBody"/>
        <w:bidi w:val="0"/>
        <w:spacing w:before="242" w:after="283"/>
        <w:jc w:val="left"/>
        <w:rPr>
          <w:rFonts w:ascii="Arial" w:hAnsi="Arial"/>
          <w:b/>
          <w:color w:val="000000"/>
          <w:sz w:val="22"/>
        </w:rPr>
      </w:pPr>
      <w:r>
        <w:rPr>
          <w:rFonts w:ascii="Arial" w:hAnsi="Arial"/>
          <w:b/>
          <w:color w:val="000000"/>
          <w:sz w:val="22"/>
        </w:rPr>
        <w:t>(o)</w:t>
      </w:r>
    </w:p>
    <w:p>
      <w:pPr>
        <w:pStyle w:val="TextBody"/>
        <w:bidi w:val="0"/>
        <w:spacing w:before="242" w:after="283"/>
        <w:jc w:val="left"/>
        <w:rPr/>
      </w:pPr>
      <w:r>
        <w:rPr>
          <w:color w:val="000000"/>
        </w:rPr>
        <w:t>“</w:t>
      </w:r>
      <w:r>
        <w:rPr>
          <w:rFonts w:ascii="Arial" w:hAnsi="Arial"/>
          <w:b/>
          <w:i/>
          <w:color w:val="000000"/>
          <w:sz w:val="22"/>
        </w:rPr>
        <w:t>SEC</w:t>
      </w:r>
      <w:r>
        <w:rPr>
          <w:color w:val="000000"/>
        </w:rPr>
        <w:t xml:space="preserve">” </w:t>
      </w:r>
      <w:r>
        <w:rPr>
          <w:rFonts w:ascii="Arial" w:hAnsi="Arial"/>
          <w:color w:val="000000"/>
          <w:sz w:val="22"/>
        </w:rPr>
        <w:t>means the U.S. Securities and Exchange Commission.</w:t>
      </w:r>
    </w:p>
    <w:p>
      <w:pPr>
        <w:pStyle w:val="TextBody"/>
        <w:bidi w:val="0"/>
        <w:spacing w:before="239" w:after="283"/>
        <w:jc w:val="left"/>
        <w:rPr>
          <w:rFonts w:ascii="Arial" w:hAnsi="Arial"/>
          <w:b/>
          <w:color w:val="000000"/>
          <w:sz w:val="22"/>
        </w:rPr>
      </w:pPr>
      <w:r>
        <w:rPr>
          <w:rFonts w:ascii="Arial" w:hAnsi="Arial"/>
          <w:b/>
          <w:color w:val="000000"/>
          <w:sz w:val="22"/>
        </w:rPr>
        <w:t>(p)</w:t>
      </w:r>
    </w:p>
    <w:p>
      <w:pPr>
        <w:pStyle w:val="TextBody"/>
        <w:bidi w:val="0"/>
        <w:spacing w:before="239" w:after="283"/>
        <w:jc w:val="left"/>
        <w:rPr/>
      </w:pPr>
      <w:r>
        <w:rPr>
          <w:color w:val="000000"/>
        </w:rPr>
        <w:t>“</w:t>
      </w:r>
      <w:r>
        <w:rPr>
          <w:rFonts w:ascii="Arial" w:hAnsi="Arial"/>
          <w:b/>
          <w:i/>
          <w:color w:val="000000"/>
          <w:sz w:val="22"/>
        </w:rPr>
        <w:t>Section 409A</w:t>
      </w:r>
      <w:r>
        <w:rPr>
          <w:color w:val="000000"/>
        </w:rPr>
        <w:t xml:space="preserve">” </w:t>
      </w:r>
      <w:r>
        <w:rPr>
          <w:rFonts w:ascii="Arial" w:hAnsi="Arial"/>
          <w:color w:val="000000"/>
          <w:sz w:val="22"/>
        </w:rPr>
        <w:t>means Section 409A of the Code.</w:t>
      </w:r>
    </w:p>
    <w:p>
      <w:pPr>
        <w:pStyle w:val="TextBody"/>
        <w:bidi w:val="0"/>
        <w:spacing w:before="242" w:after="283"/>
        <w:jc w:val="both"/>
        <w:rPr>
          <w:rFonts w:ascii="Arial" w:hAnsi="Arial"/>
          <w:b/>
          <w:color w:val="000000"/>
          <w:sz w:val="22"/>
        </w:rPr>
      </w:pPr>
      <w:r>
        <w:rPr>
          <w:rFonts w:ascii="Arial" w:hAnsi="Arial"/>
          <w:b/>
          <w:color w:val="000000"/>
          <w:sz w:val="22"/>
        </w:rPr>
        <w:t>4.</w:t>
      </w:r>
    </w:p>
    <w:p>
      <w:pPr>
        <w:pStyle w:val="TextBody"/>
        <w:bidi w:val="0"/>
        <w:spacing w:before="242" w:after="283"/>
        <w:jc w:val="both"/>
        <w:rPr/>
      </w:pPr>
      <w:r>
        <w:rPr>
          <w:rFonts w:ascii="Arial" w:hAnsi="Arial"/>
          <w:b/>
          <w:color w:val="000000"/>
          <w:sz w:val="22"/>
        </w:rPr>
        <w:t>Recovery of Erroneously Awarded Compensation</w:t>
      </w:r>
      <w:r>
        <w:rPr>
          <w:rFonts w:ascii="Arial" w:hAnsi="Arial"/>
          <w:color w:val="000000"/>
          <w:sz w:val="22"/>
        </w:rPr>
        <w:t>.</w:t>
      </w:r>
    </w:p>
    <w:p>
      <w:pPr>
        <w:pStyle w:val="TextBody"/>
        <w:bidi w:val="0"/>
        <w:spacing w:before="239" w:after="283"/>
        <w:jc w:val="both"/>
        <w:rPr>
          <w:rFonts w:ascii="Arial" w:hAnsi="Arial"/>
          <w:b/>
          <w:color w:val="000000"/>
          <w:sz w:val="22"/>
        </w:rPr>
      </w:pPr>
      <w:r>
        <w:rPr>
          <w:rFonts w:ascii="Arial" w:hAnsi="Arial"/>
          <w:b/>
          <w:color w:val="000000"/>
          <w:sz w:val="22"/>
        </w:rPr>
        <w:t>(a)</w:t>
      </w:r>
    </w:p>
    <w:p>
      <w:pPr>
        <w:pStyle w:val="TextBody"/>
        <w:bidi w:val="0"/>
        <w:spacing w:before="239" w:after="283"/>
        <w:jc w:val="both"/>
        <w:rPr>
          <w:rFonts w:ascii="Arial" w:hAnsi="Arial"/>
          <w:color w:val="000000"/>
          <w:sz w:val="22"/>
        </w:rPr>
      </w:pPr>
      <w:r>
        <w:rPr>
          <w:rFonts w:ascii="Arial" w:hAnsi="Arial"/>
          <w:color w:val="000000"/>
          <w:sz w:val="22"/>
        </w:rPr>
        <w:t>In the event of an Accounting Restatement, the Administrator shall reasonably promptly recover any Erroneously Awarded Compensation in a manner set forth in this Section</w:t>
      </w:r>
    </w:p>
    <w:p>
      <w:pPr>
        <w:pStyle w:val="TextBody"/>
        <w:bidi w:val="0"/>
        <w:jc w:val="both"/>
        <w:rPr>
          <w:rFonts w:ascii="Arial" w:hAnsi="Arial"/>
          <w:color w:val="000000"/>
          <w:sz w:val="22"/>
        </w:rPr>
      </w:pPr>
      <w:r>
        <w:rPr>
          <w:rFonts w:ascii="Arial" w:hAnsi="Arial"/>
          <w:color w:val="000000"/>
          <w:sz w:val="22"/>
        </w:rPr>
        <w:t>4. In connection therewith, the Administrator shall reasonably promptly (A) determine the amount of any Erroneously Awarded Compensation for each Covered Executive Officer in connection with such Accounting Restatement and (B) thereafter provide each Covered Executive Officer with a written notice containing the amount of Erroneously Awarded Compensation, the applicable methodology and calculation of such amount, and the method of recovery, as applicable. Prior to sending any such formal demand for recovery as determined pursuant to this Policy, the Administrator may, in its sole discretion depending on the specific facts and circumstances, provide a Covered Executive Officer with an initial written notice containing the foregoing information, and may provide the Covered Executive Officer with the opportunity to be heard at a meeting or otherwise respond in writing to such information.</w:t>
      </w:r>
    </w:p>
    <w:p>
      <w:pPr>
        <w:pStyle w:val="TextBody"/>
        <w:bidi w:val="0"/>
        <w:spacing w:before="240" w:after="283"/>
        <w:jc w:val="both"/>
        <w:rPr>
          <w:rFonts w:ascii="Arial" w:hAnsi="Arial"/>
          <w:color w:val="000000"/>
          <w:sz w:val="22"/>
        </w:rPr>
      </w:pPr>
      <w:r>
        <w:rPr>
          <w:rFonts w:ascii="Arial" w:hAnsi="Arial"/>
          <w:color w:val="000000"/>
          <w:sz w:val="22"/>
        </w:rPr>
        <w:t>(i)</w:t>
      </w:r>
    </w:p>
    <w:p>
      <w:pPr>
        <w:pStyle w:val="TextBody"/>
        <w:bidi w:val="0"/>
        <w:spacing w:before="240" w:after="283"/>
        <w:jc w:val="both"/>
        <w:rPr>
          <w:rFonts w:ascii="Arial" w:hAnsi="Arial"/>
          <w:color w:val="000000"/>
          <w:sz w:val="22"/>
        </w:rPr>
      </w:pPr>
      <w:r>
        <w:rPr>
          <w:rFonts w:ascii="Arial" w:hAnsi="Arial"/>
          <w:color w:val="000000"/>
          <w:sz w:val="22"/>
        </w:rPr>
        <w:t>Recovery under this Policy with respect to a Covered Executive Officer shall not require the finding of any misconduct by such Covered Executive Officer or such Covered Executive Officer being found responsible for the accounting error leading to an Accounting Restatement.</w:t>
      </w:r>
    </w:p>
    <w:p>
      <w:pPr>
        <w:pStyle w:val="TextBody"/>
        <w:bidi w:val="0"/>
        <w:spacing w:before="239" w:after="283"/>
        <w:jc w:val="both"/>
        <w:rPr>
          <w:rFonts w:ascii="Arial" w:hAnsi="Arial"/>
          <w:color w:val="000000"/>
          <w:sz w:val="22"/>
        </w:rPr>
      </w:pPr>
      <w:r>
        <w:rPr>
          <w:rFonts w:ascii="Arial" w:hAnsi="Arial"/>
          <w:color w:val="000000"/>
          <w:sz w:val="22"/>
        </w:rPr>
        <w:t>(ii)</w:t>
      </w:r>
    </w:p>
    <w:p>
      <w:pPr>
        <w:pStyle w:val="TextBody"/>
        <w:bidi w:val="0"/>
        <w:spacing w:before="239" w:after="283"/>
        <w:jc w:val="both"/>
        <w:rPr>
          <w:rFonts w:ascii="Arial" w:hAnsi="Arial"/>
          <w:color w:val="000000"/>
          <w:sz w:val="22"/>
        </w:rPr>
      </w:pPr>
      <w:r>
        <w:rPr>
          <w:rFonts w:ascii="Arial" w:hAnsi="Arial"/>
          <w:color w:val="000000"/>
          <w:sz w:val="22"/>
        </w:rPr>
        <w:t>For Incentive-Based Compensation based on (or derived from) stock price or total shareholder return (or a similar Financial Reporting Measure)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(or such similar Financial Reporting Measure) upon which the Incentive-Based Compensation was Received; provided that the Company shall maintain documentation of the determination of such reasonable estimate and provide such documentation to Nasdaq.</w:t>
      </w:r>
    </w:p>
    <w:p>
      <w:pPr>
        <w:pStyle w:val="TextBody"/>
        <w:bidi w:val="0"/>
        <w:spacing w:before="241" w:after="283"/>
        <w:jc w:val="both"/>
        <w:rPr>
          <w:rFonts w:ascii="Arial" w:hAnsi="Arial"/>
          <w:color w:val="000000"/>
          <w:sz w:val="22"/>
        </w:rPr>
      </w:pPr>
      <w:r>
        <w:rPr>
          <w:rFonts w:ascii="Arial" w:hAnsi="Arial"/>
          <w:color w:val="000000"/>
          <w:sz w:val="22"/>
        </w:rPr>
        <w:t>(iii)</w:t>
      </w:r>
    </w:p>
    <w:p>
      <w:pPr>
        <w:pStyle w:val="TextBody"/>
        <w:bidi w:val="0"/>
        <w:spacing w:before="241" w:after="283"/>
        <w:jc w:val="both"/>
        <w:rPr>
          <w:rFonts w:ascii="Arial" w:hAnsi="Arial"/>
          <w:color w:val="000000"/>
          <w:sz w:val="22"/>
        </w:rPr>
      </w:pPr>
      <w:r>
        <w:rPr>
          <w:rFonts w:ascii="Arial" w:hAnsi="Arial"/>
          <w:color w:val="000000"/>
          <w:sz w:val="22"/>
        </w:rPr>
        <w:t>Where Incentive-Based Compensation is based only in part on the achievement of a Financial Reporting Measure, the Administrator shall first determine the portion of the original Incentive-Based Compensation that was based on the Financial Reporting Measure that was restated in the Accounting Restatement. The Administrator shall then recalculate the affected portion based on the Financial Reporting Measure as restated, and recover the Erroneously Awarded Compensation.</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69" w:after="283"/>
        <w:jc w:val="both"/>
        <w:rPr>
          <w:rFonts w:ascii="Arial" w:hAnsi="Arial"/>
          <w:color w:val="000000"/>
          <w:sz w:val="22"/>
        </w:rPr>
      </w:pPr>
      <w:r>
        <w:rPr>
          <w:rFonts w:ascii="Arial" w:hAnsi="Arial"/>
          <w:color w:val="000000"/>
          <w:sz w:val="22"/>
        </w:rPr>
        <w:t>(iv)</w:t>
      </w:r>
    </w:p>
    <w:p>
      <w:pPr>
        <w:pStyle w:val="TextBody"/>
        <w:bidi w:val="0"/>
        <w:spacing w:before="69" w:after="283"/>
        <w:jc w:val="both"/>
        <w:rPr>
          <w:rFonts w:ascii="Arial" w:hAnsi="Arial"/>
          <w:color w:val="000000"/>
          <w:sz w:val="22"/>
        </w:rPr>
      </w:pPr>
      <w:r>
        <w:rPr>
          <w:rFonts w:ascii="Arial" w:hAnsi="Arial"/>
          <w:color w:val="000000"/>
          <w:sz w:val="22"/>
        </w:rPr>
        <w:t>To determine Erroneously Awarded Compensation for cash incentive awards determined for a pool of participants, the size of the aggregate pool from which individual awards were paid shall be reduced by applying the Financial Reporting Measure that was restated in the Accounting Restatement, and the individual awards shall be reduced on a pro rata basis (with recovery required from the Covered Executive Officers only).</w:t>
      </w:r>
    </w:p>
    <w:p>
      <w:pPr>
        <w:pStyle w:val="TextBody"/>
        <w:bidi w:val="0"/>
        <w:spacing w:before="240" w:after="283"/>
        <w:jc w:val="both"/>
        <w:rPr>
          <w:rFonts w:ascii="Arial" w:hAnsi="Arial"/>
          <w:color w:val="000000"/>
          <w:sz w:val="22"/>
        </w:rPr>
      </w:pPr>
      <w:r>
        <w:rPr>
          <w:rFonts w:ascii="Arial" w:hAnsi="Arial"/>
          <w:color w:val="000000"/>
          <w:sz w:val="22"/>
        </w:rPr>
        <w:t>(v)</w:t>
      </w:r>
    </w:p>
    <w:p>
      <w:pPr>
        <w:pStyle w:val="TextBody"/>
        <w:bidi w:val="0"/>
        <w:spacing w:before="240" w:after="283"/>
        <w:jc w:val="both"/>
        <w:rPr>
          <w:rFonts w:ascii="Arial" w:hAnsi="Arial"/>
          <w:color w:val="000000"/>
          <w:sz w:val="22"/>
        </w:rPr>
      </w:pPr>
      <w:r>
        <w:rPr>
          <w:rFonts w:ascii="Arial" w:hAnsi="Arial"/>
          <w:color w:val="000000"/>
          <w:sz w:val="22"/>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240" w:after="283"/>
        <w:jc w:val="both"/>
        <w:rPr>
          <w:rFonts w:ascii="Arial" w:hAnsi="Arial"/>
          <w:b/>
          <w:color w:val="000000"/>
          <w:sz w:val="22"/>
        </w:rPr>
      </w:pPr>
      <w:r>
        <w:rPr>
          <w:rFonts w:ascii="Arial" w:hAnsi="Arial"/>
          <w:b/>
          <w:color w:val="000000"/>
          <w:sz w:val="22"/>
        </w:rPr>
        <w:t>(b)</w:t>
      </w:r>
    </w:p>
    <w:p>
      <w:pPr>
        <w:pStyle w:val="TextBody"/>
        <w:bidi w:val="0"/>
        <w:spacing w:before="240" w:after="283"/>
        <w:jc w:val="both"/>
        <w:rPr>
          <w:rFonts w:ascii="Arial" w:hAnsi="Arial"/>
          <w:color w:val="000000"/>
          <w:sz w:val="22"/>
        </w:rPr>
      </w:pPr>
      <w:r>
        <w:rPr>
          <w:rFonts w:ascii="Arial" w:hAnsi="Arial"/>
          <w:color w:val="000000"/>
          <w:sz w:val="22"/>
        </w:rPr>
        <w:t>The Administrator shall have broad discretion to determine the appropriate timing and means of recovery of Erroneously Awarded Compensation based on the particular facts and circumstances, subject to applicable law, including but not limited to (i) requiring reimbursement of all or part of any paid cash award, (ii) seeking recovery or forfeiture of any gain realized on the vesting, exercise, settlement, sale, transfer or other disposition of any equity-based awards,</w:t>
      </w:r>
    </w:p>
    <w:p>
      <w:pPr>
        <w:pStyle w:val="TextBody"/>
        <w:bidi w:val="0"/>
        <w:jc w:val="both"/>
        <w:rPr>
          <w:rFonts w:ascii="Arial" w:hAnsi="Arial"/>
          <w:color w:val="000000"/>
          <w:sz w:val="22"/>
        </w:rPr>
      </w:pPr>
      <w:r>
        <w:rPr>
          <w:rFonts w:ascii="Arial" w:hAnsi="Arial"/>
          <w:color w:val="000000"/>
          <w:sz w:val="22"/>
        </w:rPr>
        <w:t>(iii) cancelling or reducing any outstanding cash or equity-based awards, whether vested or unvested, (iv) cancelling or offsetting against any planned future cash or equity-based awards,</w:t>
      </w:r>
    </w:p>
    <w:p>
      <w:pPr>
        <w:pStyle w:val="TextBody"/>
        <w:bidi w:val="0"/>
        <w:spacing w:before="1" w:after="283"/>
        <w:jc w:val="both"/>
        <w:rPr>
          <w:rFonts w:ascii="Arial" w:hAnsi="Arial"/>
          <w:color w:val="000000"/>
          <w:sz w:val="22"/>
        </w:rPr>
      </w:pPr>
      <w:r>
        <w:rPr>
          <w:rFonts w:ascii="Arial" w:hAnsi="Arial"/>
          <w:color w:val="000000"/>
          <w:sz w:val="22"/>
        </w:rPr>
        <w:t>(v) forfeiture of deferred compensation, (vi) offsetting any compensation amount otherwise payable by the Company (or the Group Companies) to the Covered Executive Officer in the future, and (vii) any other method authorized by applicable law or contract as determined by the Administrator. Any method elected by the Administrator shall comply with Section 409A. For the avoidance of doubt, except as set forth in Section 4(d) hereof or as required by applicable law, in no event may the Company accept an amount that is less than the amount of Erroneously Awarded Compensation in satisfaction of a Covered Executive Officer’s obligations hereunder.</w:t>
      </w:r>
    </w:p>
    <w:p>
      <w:pPr>
        <w:pStyle w:val="TextBody"/>
        <w:bidi w:val="0"/>
        <w:spacing w:before="240" w:after="283"/>
        <w:jc w:val="both"/>
        <w:rPr>
          <w:rFonts w:ascii="Arial" w:hAnsi="Arial"/>
          <w:b/>
          <w:color w:val="000000"/>
          <w:sz w:val="22"/>
        </w:rPr>
      </w:pPr>
      <w:r>
        <w:rPr>
          <w:rFonts w:ascii="Arial" w:hAnsi="Arial"/>
          <w:b/>
          <w:color w:val="000000"/>
          <w:sz w:val="22"/>
        </w:rPr>
        <w:t>(c)</w:t>
      </w:r>
    </w:p>
    <w:p>
      <w:pPr>
        <w:pStyle w:val="TextBody"/>
        <w:bidi w:val="0"/>
        <w:spacing w:before="240" w:after="283"/>
        <w:jc w:val="both"/>
        <w:rPr>
          <w:rFonts w:ascii="Arial" w:hAnsi="Arial"/>
          <w:color w:val="000000"/>
          <w:sz w:val="22"/>
        </w:rPr>
      </w:pPr>
      <w:r>
        <w:rPr>
          <w:rFonts w:ascii="Arial" w:hAnsi="Arial"/>
          <w:color w:val="000000"/>
          <w:sz w:val="22"/>
        </w:rPr>
        <w:t>To the extent that a Covered Executive Officer fails to repay all Erroneously Awarded Compensation to the Company when due (as determined in accordance with Section 4(b) hereof), the Company shall take all reasonable and appropriate actions to recover such Erroneously Awarded Compensation from the applicable Covered Executive Officer. The applicable Covered Executive Officer shall be required to reimburse the Company for any and all expenses reasonably incurred (including legal fees) by the Company (or the Group Companies) in recovering such Erroneously Awarded Compensation in accordance with the immediately preceding sentence.</w:t>
      </w:r>
    </w:p>
    <w:p>
      <w:pPr>
        <w:pStyle w:val="TextBody"/>
        <w:bidi w:val="0"/>
        <w:spacing w:before="240" w:after="283"/>
        <w:jc w:val="both"/>
        <w:rPr>
          <w:rFonts w:ascii="Arial" w:hAnsi="Arial"/>
          <w:b/>
          <w:color w:val="000000"/>
          <w:sz w:val="22"/>
        </w:rPr>
      </w:pPr>
      <w:r>
        <w:rPr>
          <w:rFonts w:ascii="Arial" w:hAnsi="Arial"/>
          <w:b/>
          <w:color w:val="000000"/>
          <w:sz w:val="22"/>
        </w:rPr>
        <w:t>(d)</w:t>
      </w:r>
    </w:p>
    <w:p>
      <w:pPr>
        <w:pStyle w:val="TextBody"/>
        <w:bidi w:val="0"/>
        <w:spacing w:before="240" w:after="283"/>
        <w:jc w:val="both"/>
        <w:rPr>
          <w:rFonts w:ascii="Arial" w:hAnsi="Arial"/>
          <w:color w:val="000000"/>
          <w:sz w:val="22"/>
        </w:rPr>
      </w:pPr>
      <w:r>
        <w:rPr>
          <w:rFonts w:ascii="Arial" w:hAnsi="Arial"/>
          <w:color w:val="000000"/>
          <w:sz w:val="22"/>
        </w:rPr>
        <w:t>Notwithstanding anything herein to the contrary, the Company shall not be required to recover Erroneously Awarded Compensation, including taking the actions contemplated by this Section 4, if the Compensation Committee (or, if the Compensation Committee is not composed solely of independent directors under the Listing Standards, a majority of independent directors serving on the Board) determines that recovery would be impracticable solely for one of the following limited reasons and subject to the procedural and disclosure requirements below and in the applicable laws and regulations:</w:t>
      </w:r>
    </w:p>
    <w:p>
      <w:pPr>
        <w:pStyle w:val="TextBody"/>
        <w:bidi w:val="0"/>
        <w:spacing w:before="241" w:after="283"/>
        <w:jc w:val="both"/>
        <w:rPr>
          <w:rFonts w:ascii="Arial" w:hAnsi="Arial"/>
          <w:color w:val="000000"/>
          <w:sz w:val="22"/>
        </w:rPr>
      </w:pPr>
      <w:r>
        <w:rPr>
          <w:rFonts w:ascii="Arial" w:hAnsi="Arial"/>
          <w:color w:val="000000"/>
          <w:sz w:val="22"/>
        </w:rPr>
        <w:t>(i)</w:t>
      </w:r>
    </w:p>
    <w:p>
      <w:pPr>
        <w:pStyle w:val="TextBody"/>
        <w:bidi w:val="0"/>
        <w:spacing w:before="241" w:after="283"/>
        <w:jc w:val="both"/>
        <w:rPr>
          <w:rFonts w:ascii="Arial" w:hAnsi="Arial"/>
          <w:color w:val="000000"/>
          <w:sz w:val="22"/>
        </w:rPr>
      </w:pPr>
      <w:r>
        <w:rPr>
          <w:rFonts w:ascii="Arial" w:hAnsi="Arial"/>
          <w:color w:val="000000"/>
          <w:sz w:val="22"/>
        </w:rPr>
        <w:t>The direct expenses paid to a third party to assist in enforcing this Policy against a Covered Executive Officer would exceed the amount of Erroneously Awarded Compensation, after the Company has made a reasonable attempt to recover the applicable Erroneously Awarded Compensation, documented such attempt and provided such documentation to Nasdaq; or</w:t>
      </w:r>
    </w:p>
    <w:p>
      <w:pPr>
        <w:pStyle w:val="TextBody"/>
        <w:bidi w:val="0"/>
        <w:spacing w:before="69" w:after="283"/>
        <w:jc w:val="both"/>
        <w:rPr>
          <w:rFonts w:ascii="Arial" w:hAnsi="Arial"/>
          <w:color w:val="000000"/>
          <w:sz w:val="22"/>
        </w:rPr>
      </w:pPr>
      <w:r>
        <w:rPr>
          <w:rFonts w:ascii="Arial" w:hAnsi="Arial"/>
          <w:color w:val="000000"/>
          <w:sz w:val="22"/>
        </w:rPr>
        <w:t>(ii)</w:t>
      </w:r>
    </w:p>
    <w:p>
      <w:pPr>
        <w:pStyle w:val="TextBody"/>
        <w:bidi w:val="0"/>
        <w:spacing w:before="69" w:after="283"/>
        <w:jc w:val="both"/>
        <w:rPr>
          <w:rFonts w:ascii="Arial" w:hAnsi="Arial"/>
          <w:color w:val="000000"/>
          <w:sz w:val="22"/>
        </w:rPr>
      </w:pPr>
      <w:r>
        <w:rPr>
          <w:rFonts w:ascii="Arial" w:hAnsi="Arial"/>
          <w:color w:val="000000"/>
          <w:sz w:val="22"/>
        </w:rPr>
        <w:t>Recovery would likely cause a tax-qualified retirement plan, under which benefits are broadly available to employees of the Company (and/or the Group Companies), to fail to meet the requirements of Section 401(a)(13) or Section 411(a) of the Code.</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239" w:after="283"/>
        <w:jc w:val="both"/>
        <w:rPr>
          <w:rFonts w:ascii="Arial" w:hAnsi="Arial"/>
          <w:b/>
          <w:color w:val="000000"/>
          <w:sz w:val="22"/>
        </w:rPr>
      </w:pPr>
      <w:r>
        <w:rPr>
          <w:rFonts w:ascii="Arial" w:hAnsi="Arial"/>
          <w:b/>
          <w:color w:val="000000"/>
          <w:sz w:val="22"/>
        </w:rPr>
        <w:t>5.</w:t>
      </w:r>
    </w:p>
    <w:p>
      <w:pPr>
        <w:pStyle w:val="TextBody"/>
        <w:bidi w:val="0"/>
        <w:spacing w:before="239" w:after="283"/>
        <w:jc w:val="both"/>
        <w:rPr/>
      </w:pPr>
      <w:r>
        <w:rPr>
          <w:rFonts w:ascii="Arial" w:hAnsi="Arial"/>
          <w:b/>
          <w:color w:val="000000"/>
          <w:sz w:val="22"/>
        </w:rPr>
        <w:t xml:space="preserve">Reporting and Disclosure. </w:t>
      </w:r>
      <w:r>
        <w:rPr>
          <w:rFonts w:ascii="Arial" w:hAnsi="Arial"/>
          <w:color w:val="000000"/>
          <w:sz w:val="22"/>
        </w:rPr>
        <w:t>The Company shall file all disclosures with respect to this Policy in accordance with federal securities laws, including the disclosure required in any applicable SEC filings.</w:t>
      </w:r>
    </w:p>
    <w:p>
      <w:pPr>
        <w:pStyle w:val="TextBody"/>
        <w:bidi w:val="0"/>
        <w:spacing w:before="240" w:after="283"/>
        <w:jc w:val="both"/>
        <w:rPr>
          <w:rFonts w:ascii="Arial" w:hAnsi="Arial"/>
          <w:b/>
          <w:color w:val="000000"/>
          <w:sz w:val="22"/>
        </w:rPr>
      </w:pPr>
      <w:r>
        <w:rPr>
          <w:rFonts w:ascii="Arial" w:hAnsi="Arial"/>
          <w:b/>
          <w:color w:val="000000"/>
          <w:sz w:val="22"/>
        </w:rPr>
        <w:t>6.</w:t>
      </w:r>
    </w:p>
    <w:p>
      <w:pPr>
        <w:pStyle w:val="TextBody"/>
        <w:bidi w:val="0"/>
        <w:spacing w:before="240" w:after="283"/>
        <w:jc w:val="both"/>
        <w:rPr/>
      </w:pPr>
      <w:r>
        <w:rPr>
          <w:rFonts w:ascii="Arial" w:hAnsi="Arial"/>
          <w:b/>
          <w:color w:val="000000"/>
          <w:sz w:val="22"/>
        </w:rPr>
        <w:t>Indemnification and Insurance Prohibition</w:t>
      </w:r>
      <w:r>
        <w:rPr>
          <w:rFonts w:ascii="Arial" w:hAnsi="Arial"/>
          <w:color w:val="000000"/>
          <w:sz w:val="22"/>
        </w:rPr>
        <w:t>. The Company (and the Group Companies) shall not insure (or reimburse for the purchase of insurance) or indemnify any Covered Executive Officer against (i) the loss of any Erroneously Awarded Compensation that is repaid, returned, recovered, cancelled or forfeited pursuant to the terms of this Policy, or (ii) any claims relating to the Company’s enforcement of its rights under this Policy. Further, the Company (and the Group Companies)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p>
    <w:p>
      <w:pPr>
        <w:pStyle w:val="TextBody"/>
        <w:bidi w:val="0"/>
        <w:spacing w:before="241" w:after="283"/>
        <w:jc w:val="both"/>
        <w:rPr>
          <w:rFonts w:ascii="Arial" w:hAnsi="Arial"/>
          <w:b/>
          <w:color w:val="000000"/>
          <w:sz w:val="22"/>
        </w:rPr>
      </w:pPr>
      <w:r>
        <w:rPr>
          <w:rFonts w:ascii="Arial" w:hAnsi="Arial"/>
          <w:b/>
          <w:color w:val="000000"/>
          <w:sz w:val="22"/>
        </w:rPr>
        <w:t>7.</w:t>
      </w:r>
    </w:p>
    <w:p>
      <w:pPr>
        <w:pStyle w:val="TextBody"/>
        <w:bidi w:val="0"/>
        <w:spacing w:before="241" w:after="283"/>
        <w:jc w:val="both"/>
        <w:rPr/>
      </w:pPr>
      <w:r>
        <w:rPr>
          <w:rFonts w:ascii="Arial" w:hAnsi="Arial"/>
          <w:b/>
          <w:color w:val="000000"/>
          <w:sz w:val="22"/>
        </w:rPr>
        <w:t>Effective Date</w:t>
      </w:r>
      <w:r>
        <w:rPr>
          <w:rFonts w:ascii="Arial" w:hAnsi="Arial"/>
          <w:color w:val="000000"/>
          <w:sz w:val="22"/>
        </w:rPr>
        <w:t>. This Policy shall be effective as of the Effective Date. Subject to applicable law, the Administrator may affect recovery under this Policy from any amount of compensation approved, awarded, granted, payable or paid to the Covered Executive prior to, on or after the Effective Date.</w:t>
      </w:r>
    </w:p>
    <w:p>
      <w:pPr>
        <w:pStyle w:val="TextBody"/>
        <w:bidi w:val="0"/>
        <w:spacing w:before="241" w:after="283"/>
        <w:jc w:val="both"/>
        <w:rPr>
          <w:rFonts w:ascii="Arial" w:hAnsi="Arial"/>
          <w:b/>
          <w:color w:val="000000"/>
          <w:sz w:val="22"/>
        </w:rPr>
      </w:pPr>
      <w:r>
        <w:rPr>
          <w:rFonts w:ascii="Arial" w:hAnsi="Arial"/>
          <w:b/>
          <w:color w:val="000000"/>
          <w:sz w:val="22"/>
        </w:rPr>
        <w:t>8.</w:t>
      </w:r>
    </w:p>
    <w:p>
      <w:pPr>
        <w:pStyle w:val="TextBody"/>
        <w:bidi w:val="0"/>
        <w:spacing w:before="241" w:after="283"/>
        <w:jc w:val="both"/>
        <w:rPr/>
      </w:pPr>
      <w:r>
        <w:rPr>
          <w:rFonts w:ascii="Arial" w:hAnsi="Arial"/>
          <w:b/>
          <w:color w:val="000000"/>
          <w:sz w:val="22"/>
        </w:rPr>
        <w:t>Amendment</w:t>
      </w:r>
      <w:r>
        <w:rPr>
          <w:rFonts w:ascii="Arial" w:hAnsi="Arial"/>
          <w:color w:val="000000"/>
          <w:sz w:val="22"/>
        </w:rPr>
        <w:t xml:space="preserve">; </w:t>
      </w:r>
      <w:r>
        <w:rPr>
          <w:rFonts w:ascii="Arial" w:hAnsi="Arial"/>
          <w:b/>
          <w:color w:val="000000"/>
          <w:sz w:val="22"/>
        </w:rPr>
        <w:t>Termination</w:t>
      </w:r>
      <w:r>
        <w:rPr>
          <w:rFonts w:ascii="Arial" w:hAnsi="Arial"/>
          <w:color w:val="000000"/>
          <w:sz w:val="22"/>
        </w:rPr>
        <w:t>. The Board or Administrator may amend this Policy from time to time in its discretion and shall amend this Policy as it deems necessary, including as and when it determines that it is legally required by any federal securities laws or Nasdaq rules or to comply with (or maintain an exemption from the application of) Section 409A. The Board or Administrator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239" w:after="283"/>
        <w:jc w:val="both"/>
        <w:rPr>
          <w:rFonts w:ascii="Arial" w:hAnsi="Arial"/>
          <w:b/>
          <w:color w:val="000000"/>
          <w:sz w:val="22"/>
        </w:rPr>
      </w:pPr>
      <w:r>
        <w:rPr>
          <w:rFonts w:ascii="Arial" w:hAnsi="Arial"/>
          <w:b/>
          <w:color w:val="000000"/>
          <w:sz w:val="22"/>
        </w:rPr>
        <w:t>9.</w:t>
      </w:r>
    </w:p>
    <w:p>
      <w:pPr>
        <w:pStyle w:val="TextBody"/>
        <w:bidi w:val="0"/>
        <w:spacing w:before="239" w:after="283"/>
        <w:jc w:val="both"/>
        <w:rPr/>
      </w:pPr>
      <w:r>
        <w:rPr>
          <w:rFonts w:ascii="Arial" w:hAnsi="Arial"/>
          <w:b/>
          <w:color w:val="000000"/>
          <w:sz w:val="22"/>
        </w:rPr>
        <w:t>Other Recoupment Rights</w:t>
      </w:r>
      <w:r>
        <w:rPr>
          <w:rFonts w:ascii="Arial" w:hAnsi="Arial"/>
          <w:color w:val="000000"/>
          <w:sz w:val="22"/>
        </w:rPr>
        <w:t xml:space="preserve">; </w:t>
      </w:r>
      <w:r>
        <w:rPr>
          <w:rFonts w:ascii="Arial" w:hAnsi="Arial"/>
          <w:b/>
          <w:color w:val="000000"/>
          <w:sz w:val="22"/>
        </w:rPr>
        <w:t>No Additional Payments</w:t>
      </w:r>
      <w:r>
        <w:rPr>
          <w:rFonts w:ascii="Arial" w:hAnsi="Arial"/>
          <w:color w:val="000000"/>
          <w:sz w:val="22"/>
        </w:rPr>
        <w:t>. Any employment agreement, cash or equity-based award agreement, compensatory plan or any other agreement or arrangement with a Covered Executive Officer shall be deemed to include, as a condition to the grant of any benefit thereunder, an agreement by the Covered Executive Officer to abide by the terms of this Policy. Any right of recoupment under this Policy is in addition to, and not in lieu of, any other remedies or rights of recoupment that may be available to the Company (or the Group Companies), including under applicable law, regulation or rule or pursuant to the terms of any employment or severance agreement, cash or equity-based award agreement, plan or policy, or similar agreement, plan or policy with the Company (or the Group Companies). To the extent that the Covered Executive Officer has already reimbursed the Company (or the Group Companies) for any Erroneously Awarded Compensation Received under any duplicative recovery obligations established by the Company (or the Group Companies) and subject to applicable law, such reimbursed amount shall be credited to the amount of Erroneously Awarded Compensation that is subject to recovery under this Policy.</w:t>
      </w:r>
    </w:p>
    <w:p>
      <w:pPr>
        <w:pStyle w:val="TextBody"/>
        <w:bidi w:val="0"/>
        <w:spacing w:before="241" w:after="283"/>
        <w:jc w:val="both"/>
        <w:rPr>
          <w:rFonts w:ascii="Arial" w:hAnsi="Arial"/>
          <w:b/>
          <w:color w:val="000000"/>
          <w:sz w:val="22"/>
        </w:rPr>
      </w:pPr>
      <w:r>
        <w:rPr>
          <w:rFonts w:ascii="Arial" w:hAnsi="Arial"/>
          <w:b/>
          <w:color w:val="000000"/>
          <w:sz w:val="22"/>
        </w:rPr>
        <w:t>10.</w:t>
      </w:r>
    </w:p>
    <w:p>
      <w:pPr>
        <w:pStyle w:val="TextBody"/>
        <w:bidi w:val="0"/>
        <w:spacing w:before="241" w:after="283"/>
        <w:jc w:val="both"/>
        <w:rPr/>
      </w:pPr>
      <w:r>
        <w:rPr>
          <w:rFonts w:ascii="Arial" w:hAnsi="Arial"/>
          <w:b/>
          <w:color w:val="000000"/>
          <w:sz w:val="22"/>
        </w:rPr>
        <w:t>Severability</w:t>
      </w:r>
      <w:r>
        <w:rPr>
          <w:rFonts w:ascii="Arial" w:hAnsi="Arial"/>
          <w:color w:val="000000"/>
          <w:sz w:val="22"/>
        </w:rPr>
        <w:t>. The provisions in this Policy are intended to be applied to the fullest extent of the law. To the extent that any provision of this Policy is found to be unenforceable or invalid under any applicable law, such provision shall be applied to the maximum extent permitted, and</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69" w:after="283"/>
        <w:jc w:val="left"/>
        <w:rPr>
          <w:rFonts w:ascii="Arial" w:hAnsi="Arial"/>
          <w:color w:val="000000"/>
          <w:sz w:val="22"/>
        </w:rPr>
      </w:pPr>
      <w:r>
        <w:rPr>
          <w:rFonts w:ascii="Arial" w:hAnsi="Arial"/>
          <w:color w:val="000000"/>
          <w:sz w:val="22"/>
        </w:rPr>
        <w:t>shall automatically be deemed amended in a manner consistent with its objectives to the extent necessary to conform to any limitations required under applicable law.</w:t>
      </w:r>
    </w:p>
    <w:p>
      <w:pPr>
        <w:pStyle w:val="TextBody"/>
        <w:bidi w:val="0"/>
        <w:spacing w:before="240" w:after="283"/>
        <w:jc w:val="left"/>
        <w:rPr>
          <w:rFonts w:ascii="Arial" w:hAnsi="Arial"/>
          <w:b/>
          <w:color w:val="000000"/>
          <w:sz w:val="22"/>
        </w:rPr>
      </w:pPr>
      <w:r>
        <w:rPr>
          <w:rFonts w:ascii="Arial" w:hAnsi="Arial"/>
          <w:b/>
          <w:color w:val="000000"/>
          <w:sz w:val="22"/>
        </w:rPr>
        <w:t>11.</w:t>
      </w:r>
    </w:p>
    <w:p>
      <w:pPr>
        <w:pStyle w:val="TextBody"/>
        <w:bidi w:val="0"/>
        <w:spacing w:before="240" w:after="283"/>
        <w:jc w:val="left"/>
        <w:rPr/>
      </w:pPr>
      <w:r>
        <w:rPr>
          <w:rFonts w:ascii="Arial" w:hAnsi="Arial"/>
          <w:b/>
          <w:color w:val="000000"/>
          <w:sz w:val="22"/>
        </w:rPr>
        <w:t>Successors</w:t>
      </w:r>
      <w:r>
        <w:rPr>
          <w:rFonts w:ascii="Arial" w:hAnsi="Arial"/>
          <w:color w:val="000000"/>
          <w:sz w:val="22"/>
        </w:rPr>
        <w:t>. This Policy shall be binding and enforceable against all Covered Executive Officers and their beneficiaries, heirs, executors, administrators or other legal representatives.</w:t>
      </w:r>
    </w:p>
    <w:p>
      <w:pPr>
        <w:pStyle w:val="TextBody"/>
        <w:bidi w:val="0"/>
        <w:spacing w:before="2" w:after="283"/>
        <w:jc w:val="left"/>
        <w:rPr/>
      </w:pPr>
      <w:r>
        <w:rPr/>
        <w:t> </w:t>
      </w:r>
    </w:p>
    <w:p>
      <w:pPr>
        <w:pStyle w:val="TextBody"/>
        <w:bidi w:val="0"/>
        <w:jc w:val="center"/>
        <w:rPr>
          <w:rFonts w:ascii="Arial" w:hAnsi="Arial"/>
          <w:color w:val="000000"/>
          <w:sz w:val="22"/>
        </w:rPr>
      </w:pPr>
      <w:r>
        <w:rPr>
          <w:rFonts w:ascii="Arial" w:hAnsi="Arial"/>
          <w:color w:val="000000"/>
          <w:sz w:val="22"/>
        </w:rPr>
        <w:t>* * *</w:t>
      </w:r>
    </w:p>
    <w:p>
      <w:pPr>
        <w:pStyle w:val="TextBody"/>
        <w:bidi w:val="0"/>
        <w:jc w:val="left"/>
        <w:rPr/>
      </w:pPr>
      <w:r>
        <w:rPr/>
        <w:t> </w:t>
      </w:r>
    </w:p>
    <w:p>
      <w:pPr>
        <w:pStyle w:val="TextBody"/>
        <w:bidi w:val="0"/>
        <w:spacing w:before="13" w:after="283"/>
        <w:ind w:left="60" w:right="0" w:hanging="0"/>
        <w:jc w:val="left"/>
        <w:rPr>
          <w:rFonts w:ascii="Arial" w:hAnsi="Arial"/>
          <w:color w:val="000000"/>
          <w:sz w:val="22"/>
        </w:rPr>
      </w:pPr>
      <w:r>
        <w:rPr>
          <w:rFonts w:ascii="Arial" w:hAnsi="Arial"/>
          <w:color w:val="000000"/>
          <w:sz w:val="22"/>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97</w:t>
      </w:r>
    </w:p>
    <w:p>
      <w:pPr>
        <w:pStyle w:val="TextBody"/>
        <w:bidi w:val="0"/>
        <w:spacing w:before="70" w:after="283"/>
        <w:jc w:val="center"/>
        <w:rPr>
          <w:rFonts w:ascii="Arial" w:hAnsi="Arial"/>
          <w:b/>
          <w:color w:val="000000"/>
          <w:sz w:val="22"/>
          <w:u w:val="single"/>
        </w:rPr>
      </w:pPr>
      <w:r>
        <w:rPr>
          <w:rFonts w:ascii="Arial" w:hAnsi="Arial"/>
          <w:b/>
          <w:color w:val="000000"/>
          <w:sz w:val="22"/>
          <w:u w:val="single"/>
        </w:rPr>
        <w:t>Exhibit A</w:t>
      </w:r>
    </w:p>
    <w:p>
      <w:pPr>
        <w:pStyle w:val="TextBody"/>
        <w:bidi w:val="0"/>
        <w:spacing w:before="241" w:after="283"/>
        <w:jc w:val="center"/>
        <w:rPr>
          <w:rFonts w:ascii="Arial" w:hAnsi="Arial"/>
          <w:b/>
          <w:color w:val="000000"/>
          <w:sz w:val="22"/>
        </w:rPr>
      </w:pPr>
      <w:r>
        <w:rPr>
          <w:rFonts w:ascii="Arial" w:hAnsi="Arial"/>
          <w:b/>
          <w:color w:val="000000"/>
          <w:sz w:val="22"/>
        </w:rPr>
        <w:t>GENTHERM INCORPORATED</w:t>
      </w:r>
    </w:p>
    <w:p>
      <w:pPr>
        <w:pStyle w:val="TextBody"/>
        <w:bidi w:val="0"/>
        <w:spacing w:before="220" w:after="283"/>
        <w:jc w:val="center"/>
        <w:rPr>
          <w:rFonts w:ascii="Arial" w:hAnsi="Arial"/>
          <w:b/>
          <w:color w:val="000000"/>
          <w:sz w:val="22"/>
        </w:rPr>
      </w:pPr>
      <w:r>
        <w:rPr>
          <w:rFonts w:ascii="Arial" w:hAnsi="Arial"/>
          <w:b/>
          <w:color w:val="000000"/>
          <w:sz w:val="22"/>
        </w:rPr>
        <w:t>POLICY FOR THE RECOVERY OF ERRONEOUSLY AWARDED COMPENSATION COVERED EXECUTIVE OFFICER ACKNOWLEDGEMENT FORM</w:t>
      </w:r>
    </w:p>
    <w:p>
      <w:pPr>
        <w:pStyle w:val="TextBody"/>
        <w:bidi w:val="0"/>
        <w:spacing w:before="40" w:after="283"/>
        <w:jc w:val="both"/>
        <w:rPr>
          <w:rFonts w:ascii="Times New Roman" w:hAnsi="Times New Roman"/>
          <w:sz w:val="20"/>
        </w:rPr>
      </w:pPr>
      <w:r>
        <w:rPr>
          <w:rFonts w:ascii="Arial" w:hAnsi="Arial"/>
          <w:color w:val="000000"/>
          <w:sz w:val="22"/>
        </w:rPr>
        <w:t>By signing below, the undersigned acknowledges and confirms that the undersigned has received and reviewed a copy of the Gentherm Incorporated Policy for the Recovery of Erroneously Awarded Compensation (as may be amended, restated, supplemented or otherwise modified from time to time, the “</w:t>
      </w:r>
      <w:r>
        <w:rPr>
          <w:rFonts w:ascii="Arial" w:hAnsi="Arial"/>
          <w:b/>
          <w:i/>
          <w:color w:val="000000"/>
          <w:sz w:val="22"/>
        </w:rPr>
        <w:t>Policy</w:t>
      </w:r>
      <w:r>
        <w:rPr>
          <w:rFonts w:ascii="Times New Roman" w:hAnsi="Times New Roman"/>
          <w:color w:val="000000"/>
          <w:sz w:val="20"/>
        </w:rPr>
        <w:t>”</w:t>
      </w:r>
      <w:r>
        <w:rPr>
          <w:rFonts w:ascii="Arial" w:hAnsi="Arial"/>
          <w:color w:val="000000"/>
          <w:sz w:val="22"/>
        </w:rPr>
        <w:t>). Capitalized terms used but not otherwise defined in this Acknowledgement Form (the “</w:t>
      </w:r>
      <w:r>
        <w:rPr>
          <w:rFonts w:ascii="Arial" w:hAnsi="Arial"/>
          <w:b/>
          <w:i/>
          <w:color w:val="000000"/>
          <w:sz w:val="22"/>
        </w:rPr>
        <w:t>Acknowledgement Form</w:t>
      </w:r>
      <w:r>
        <w:rPr>
          <w:rFonts w:ascii="Times New Roman" w:hAnsi="Times New Roman"/>
          <w:color w:val="000000"/>
          <w:sz w:val="20"/>
        </w:rPr>
        <w:t>”</w:t>
      </w:r>
      <w:r>
        <w:rPr>
          <w:rFonts w:ascii="Arial" w:hAnsi="Arial"/>
          <w:color w:val="000000"/>
          <w:sz w:val="22"/>
        </w:rPr>
        <w:t>) shall have the meanings ascribed to such terms in the Policy.</w:t>
      </w:r>
    </w:p>
    <w:p>
      <w:pPr>
        <w:pStyle w:val="TextBody"/>
        <w:bidi w:val="0"/>
        <w:spacing w:before="240" w:after="283"/>
        <w:jc w:val="both"/>
        <w:rPr>
          <w:rFonts w:ascii="Arial" w:hAnsi="Arial"/>
          <w:color w:val="000000"/>
          <w:sz w:val="22"/>
        </w:rPr>
      </w:pPr>
      <w:r>
        <w:rPr>
          <w:rFonts w:ascii="Arial" w:hAnsi="Arial"/>
          <w:color w:val="000000"/>
          <w:sz w:val="22"/>
        </w:rPr>
        <w:t>By signing this Acknowledgement Form, the undersigned acknowledges and agrees that the undersigned is and will continue to be subject to the Policy and that the Policy will apply both during and after the undersigned’s employment with the Company (or the Group Companies). In the event of any inconsistency between the Policy and the terms of any employment or separation agreement to which I am a party, or the terms of any compensation or severance plan, program or agreement under which any compensation has been granted, awarded, earned or paid, the terms of the Policy shall govern. In the event it is determined by the Administrator that the Erroneously Awarded Compensation must be returned, forfeited or reimbursed to the Company, I will promptly take any action necessary to effectuate such recovery in any manner permitted by the Policy and determined by the Administrator.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2" w:after="283"/>
        <w:jc w:val="left"/>
        <w:rPr/>
      </w:pPr>
      <w:r>
        <w:rPr/>
        <w:t> </w:t>
      </w:r>
    </w:p>
    <w:p>
      <w:pPr>
        <w:pStyle w:val="TextBody"/>
        <w:bidi w:val="0"/>
        <w:spacing w:before="2" w:after="283"/>
        <w:jc w:val="center"/>
        <w:rPr>
          <w:rFonts w:ascii="Times New Roman" w:hAnsi="Times New Roman"/>
          <w:sz w:val="20"/>
        </w:rPr>
      </w:pPr>
      <w:r>
        <w:rPr>
          <w:rFonts w:ascii="Arial" w:hAnsi="Arial"/>
          <w:color w:val="000000"/>
          <w:sz w:val="22"/>
        </w:rPr>
        <w:t>[</w:t>
      </w:r>
      <w:r>
        <w:rPr>
          <w:rFonts w:ascii="Arial" w:hAnsi="Arial"/>
          <w:i/>
          <w:color w:val="000000"/>
          <w:sz w:val="22"/>
        </w:rPr>
        <w:t>Name/Title</w:t>
      </w:r>
      <w:r>
        <w:rPr>
          <w:rFonts w:ascii="Arial" w:hAnsi="Arial"/>
          <w:color w:val="000000"/>
          <w:sz w:val="22"/>
        </w:rPr>
        <w:t>]</w:t>
      </w:r>
    </w:p>
    <w:p>
      <w:pPr>
        <w:pStyle w:val="TextBody"/>
        <w:bidi w:val="0"/>
        <w:jc w:val="left"/>
        <w:rPr/>
      </w:pPr>
      <w:r>
        <w:rPr/>
        <w:t> </w:t>
      </w:r>
    </w:p>
    <w:p>
      <w:pPr>
        <w:pStyle w:val="TextBody"/>
        <w:bidi w:val="0"/>
        <w:spacing w:before="12" w:after="283"/>
        <w:jc w:val="left"/>
        <w:rPr/>
      </w:pPr>
      <w:r>
        <w:rPr/>
        <w:t> </w:t>
      </w:r>
    </w:p>
    <w:p>
      <w:pPr>
        <w:pStyle w:val="TextBody"/>
        <w:bidi w:val="0"/>
        <w:spacing w:before="6" w:after="283"/>
        <w:jc w:val="center"/>
        <w:rPr>
          <w:rFonts w:ascii="Times New Roman" w:hAnsi="Times New Roman"/>
          <w:sz w:val="20"/>
        </w:rPr>
      </w:pPr>
      <w:r>
        <w:rPr>
          <w:rFonts w:ascii="Arial" w:hAnsi="Arial"/>
          <w:color w:val="000000"/>
          <w:sz w:val="22"/>
        </w:rPr>
        <w:t>[</w:t>
      </w:r>
      <w:r>
        <w:rPr>
          <w:rFonts w:ascii="Arial" w:hAnsi="Arial"/>
          <w:i/>
          <w:color w:val="000000"/>
          <w:sz w:val="22"/>
        </w:rPr>
        <w:t>Date</w:t>
      </w:r>
      <w:r>
        <w:rPr>
          <w:rFonts w:ascii="Arial" w:hAnsi="Arial"/>
          <w:color w:val="000000"/>
          <w:sz w:val="22"/>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9"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49392270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Symbo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03129/000156459022017813/thrm-ex21_379.htm" TargetMode="External"/><Relationship Id="rId4" Type="http://schemas.openxmlformats.org/officeDocument/2006/relationships/hyperlink" Target="https://www.sec.gov/Archives/edgar/data/903129/000119312518070672/d544984dex32.htm" TargetMode="External"/><Relationship Id="rId5" Type="http://schemas.openxmlformats.org/officeDocument/2006/relationships/hyperlink" Target="https://www.sec.gov/Archives/edgar/data/903129/000156459016020008/thrm-ex31_6.htm" TargetMode="External"/><Relationship Id="rId6" Type="http://schemas.openxmlformats.org/officeDocument/2006/relationships/hyperlink" Target="https://www.sec.gov/Archives/edgar/data/903129/000156459020005507/thrm-ex4_529.htm" TargetMode="External"/><Relationship Id="rId7" Type="http://schemas.openxmlformats.org/officeDocument/2006/relationships/hyperlink" Target="https://www.sec.gov/Archives/edgar/data/903129/000156459021039413/thrm-ex103_201.htm" TargetMode="External"/><Relationship Id="rId8" Type="http://schemas.openxmlformats.org/officeDocument/2006/relationships/hyperlink" Target="https://www.sec.gov/Archives/edgar/data/0000903129/000119312521081512/d122147dex101.htm" TargetMode="External"/><Relationship Id="rId9" Type="http://schemas.openxmlformats.org/officeDocument/2006/relationships/hyperlink" Target="https://www.sec.gov/Archives/edgar/data/903129/000119312513164497/d511654ddef14a.htm" TargetMode="External"/><Relationship Id="rId10" Type="http://schemas.openxmlformats.org/officeDocument/2006/relationships/hyperlink" Target="https://www.sec.gov/Archives/edgar/data/903129/000156459017011364/thrm-ex102_7.htm" TargetMode="External"/><Relationship Id="rId11" Type="http://schemas.openxmlformats.org/officeDocument/2006/relationships/hyperlink" Target="https://www.sec.gov/Archives/edgar/data/903129/000119312520151114/d904811dex101.htm" TargetMode="External"/><Relationship Id="rId12" Type="http://schemas.openxmlformats.org/officeDocument/2006/relationships/hyperlink" Target="https://www.sec.gov/Archives/edgar/data/903129/000119312513273983/d560935dex101.htm" TargetMode="External"/><Relationship Id="rId13" Type="http://schemas.openxmlformats.org/officeDocument/2006/relationships/hyperlink" Target="https://www.sec.gov/Archives/edgar/data/903129/000119312513273983/d560935dex102.htm" TargetMode="External"/><Relationship Id="rId14" Type="http://schemas.openxmlformats.org/officeDocument/2006/relationships/hyperlink" Target="https://www.sec.gov/Archives/edgar/data/903129/000119312513273983/d560935dex103.htm" TargetMode="External"/><Relationship Id="rId15" Type="http://schemas.openxmlformats.org/officeDocument/2006/relationships/hyperlink" Target="https://www.sec.gov/Archives/edgar/data/903129/000156459017019203/thrm-ex101_6.htm" TargetMode="External"/><Relationship Id="rId16" Type="http://schemas.openxmlformats.org/officeDocument/2006/relationships/hyperlink" Target="https://www.sec.gov/Archives/edgar/data/0000903129/000156459018015540/thrm-ex101_6.htm" TargetMode="External"/><Relationship Id="rId17" Type="http://schemas.openxmlformats.org/officeDocument/2006/relationships/hyperlink" Target="https://www.sec.gov/Archives/edgar/data/0000903129/000156459018015540/thrm-ex102_7.htm" TargetMode="External"/><Relationship Id="rId18" Type="http://schemas.openxmlformats.org/officeDocument/2006/relationships/hyperlink" Target="https://www.sec.gov/Archives/edgar/data/0000903129/000119312518347357/d668804dex102.htm" TargetMode="External"/><Relationship Id="rId19" Type="http://schemas.openxmlformats.org/officeDocument/2006/relationships/hyperlink" Target="https://www.sec.gov/Archives/edgar/data/0000903129/000119312518347357/d668804dex103.htm" TargetMode="External"/><Relationship Id="rId20" Type="http://schemas.openxmlformats.org/officeDocument/2006/relationships/hyperlink" Target="https://www.sec.gov/Archives/edgar/data/903129/000156459020022991/thrm-ex101_29.htm" TargetMode="External"/><Relationship Id="rId21" Type="http://schemas.openxmlformats.org/officeDocument/2006/relationships/hyperlink" Target="https://www.sec.gov/Archives/edgar/data/903129/000156459020022991/thrm-ex102_28.htm" TargetMode="External"/><Relationship Id="rId22" Type="http://schemas.openxmlformats.org/officeDocument/2006/relationships/hyperlink" Target="https://www.sec.gov/Archives/edgar/data/903129/000156459020036145/thrm-ex107_239.htm" TargetMode="External"/><Relationship Id="rId23" Type="http://schemas.openxmlformats.org/officeDocument/2006/relationships/hyperlink" Target="https://www.sec.gov/Archives/edgar/data/903129/000156459021039413/thrm-ex102_200.htm" TargetMode="External"/><Relationship Id="rId24" Type="http://schemas.openxmlformats.org/officeDocument/2006/relationships/hyperlink" Target="https://www.sec.gov/Archives/edgar/data/903129/000119312521081512/d122147dex102.htm" TargetMode="External"/><Relationship Id="rId25" Type="http://schemas.openxmlformats.org/officeDocument/2006/relationships/hyperlink" Target="https://www.sec.gov/Archives/edgar/data/0000903129/000119312521081512/d122147dex103.htm" TargetMode="External"/><Relationship Id="rId26" Type="http://schemas.openxmlformats.org/officeDocument/2006/relationships/hyperlink" Target="https://www.sec.gov/Archives/edgar/data/903129/000119312523148147/d502782dex101.htm" TargetMode="External"/><Relationship Id="rId27" Type="http://schemas.openxmlformats.org/officeDocument/2006/relationships/hyperlink" Target="https://www.sec.gov/Archives/edgar/data/903129/000119312523148147/d502782dex102.htm" TargetMode="External"/><Relationship Id="rId28" Type="http://schemas.openxmlformats.org/officeDocument/2006/relationships/hyperlink" Target="https://www.sec.gov/Archives/edgar/data/903129/000119312523148147/d502782dex103.htm" TargetMode="External"/><Relationship Id="rId29" Type="http://schemas.openxmlformats.org/officeDocument/2006/relationships/hyperlink" Target="https://www.sec.gov/Archives/edgar/data/903129/000119312523148147/d502782dex104.htm" TargetMode="External"/><Relationship Id="rId30" Type="http://schemas.openxmlformats.org/officeDocument/2006/relationships/hyperlink" Target="https://www.sec.gov/Archives/edgar/data/903129/000119312522172916/d357209dex101.htm" TargetMode="External"/><Relationship Id="rId31" Type="http://schemas.openxmlformats.org/officeDocument/2006/relationships/hyperlink" Target="https://www.sec.gov/Archives/edgar/data/903129/000119312522172916/d357209dex102.htm" TargetMode="External"/><Relationship Id="rId32" Type="http://schemas.openxmlformats.org/officeDocument/2006/relationships/hyperlink" Target="https://www.sec.gov/Archives/edgar/data/0000903129/000156459017019184/thrm-ex101_6.htm" TargetMode="External"/><Relationship Id="rId33" Type="http://schemas.openxmlformats.org/officeDocument/2006/relationships/hyperlink" Target="https://www.sec.gov/Archives/edgar/data/0000903129/000156459018030659/thrm-ex101_6.htm" TargetMode="External"/><Relationship Id="rId34" Type="http://schemas.openxmlformats.org/officeDocument/2006/relationships/hyperlink" Target="https://www.sec.gov/Archives/edgar/data/903129/000156459020036145/thrm-ex104_234.htm" TargetMode="External"/><Relationship Id="rId35" Type="http://schemas.openxmlformats.org/officeDocument/2006/relationships/hyperlink" Target="https://www.sec.gov/Archives/edgar/data/0000903129/000119312518347357/d668804dex101.htm" TargetMode="External"/><Relationship Id="rId36" Type="http://schemas.openxmlformats.org/officeDocument/2006/relationships/hyperlink" Target="https://www.sec.gov/Archives/edgar/data/903129/000156459020036145/thrm-ex105_240.htm" TargetMode="External"/><Relationship Id="rId37" Type="http://schemas.openxmlformats.org/officeDocument/2006/relationships/hyperlink" Target="https://www.sec.gov/Archives/edgar/data/0000903129/000119312521081512/d122147dex105.htm" TargetMode="External"/><Relationship Id="rId38" Type="http://schemas.openxmlformats.org/officeDocument/2006/relationships/hyperlink" Target="https://www.sec.gov/Archives/edgar/data/903129/000156459019038426/thrm-ex101_491.htm" TargetMode="External"/><Relationship Id="rId39" Type="http://schemas.openxmlformats.org/officeDocument/2006/relationships/hyperlink" Target="https://www.sec.gov/Archives/edgar/data/0000903129/000156459021039413/thrm-ex101_244.htm" TargetMode="External"/><Relationship Id="rId40" Type="http://schemas.openxmlformats.org/officeDocument/2006/relationships/hyperlink" Target="https://www.sec.gov/Archives/edgar/data/903129/000156459020005507/thrm-ex1011_877.htm" TargetMode="External"/><Relationship Id="rId41" Type="http://schemas.openxmlformats.org/officeDocument/2006/relationships/hyperlink" Target="https://www.sec.gov/Archives/edgar/data/903129/000095017023055690/thrm-ex10_1.htm" TargetMode="External"/><Relationship Id="rId42" Type="http://schemas.openxmlformats.org/officeDocument/2006/relationships/hyperlink" Target="https://www.sec.gov/Archives/edgar/data/903129/000119312521081512/d122147dex104.htm" TargetMode="External"/><Relationship Id="rId43" Type="http://schemas.openxmlformats.org/officeDocument/2006/relationships/hyperlink" Target="https://www.sec.gov/Archives/edgar/data/903129/000119312521081512/d122147dex107.htm" TargetMode="External"/><Relationship Id="rId44" Type="http://schemas.openxmlformats.org/officeDocument/2006/relationships/hyperlink" Target="https://www.sec.gov/Archives/edgar/data/0000903129/000156459019026397/thrm-ex104_110.htm" TargetMode="External"/><Relationship Id="rId45" Type="http://schemas.openxmlformats.org/officeDocument/2006/relationships/hyperlink" Target="https://www.sec.gov/Archives/edgar/data/903129/000156459019000146/thrm-ex102_8.htm" TargetMode="External"/><Relationship Id="rId46" Type="http://schemas.openxmlformats.org/officeDocument/2006/relationships/hyperlink" Target="https://www.sec.gov/Archives/edgar/data/903129/000119312523268883/d548342dex10.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59872</Words>
  <Characters>339831</Characters>
  <CharactersWithSpaces>402223</CharactersWithSpaces>
  <Paragraphs>13951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