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62860ds4a.htm"/>
      <w:bookmarkStart w:id="1" w:name="ksd62860ds4a"/>
      <w:bookmarkEnd w:id="0"/>
      <w:bookmarkEnd w:id="1"/>
      <w:r>
        <w:rPr>
          <w:rFonts w:ascii="Times New Roman" w:hAnsi="Times New Roman"/>
          <w:b/>
          <w:sz w:val="16"/>
        </w:rPr>
        <w:t xml:space="preserve">As filed with the Securities and Exchange Commission on August 10,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333-297224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Amendment No. 2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S-4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GENTHERM INCORPORATED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Michigan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3714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95-4318554</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28875 Cabot Drive </w:t>
      </w:r>
    </w:p>
    <w:p>
      <w:pPr>
        <w:pStyle w:val="TextBody"/>
        <w:bidi w:val="0"/>
        <w:spacing w:before="0" w:after="0"/>
        <w:jc w:val="center"/>
        <w:rPr>
          <w:rFonts w:ascii="Times New Roman" w:hAnsi="Times New Roman"/>
          <w:b/>
          <w:sz w:val="16"/>
        </w:rPr>
      </w:pPr>
      <w:r>
        <w:rPr>
          <w:rFonts w:ascii="Times New Roman" w:hAnsi="Times New Roman"/>
          <w:b/>
          <w:sz w:val="16"/>
        </w:rPr>
        <w:t xml:space="preserve">Novi, Michigan 48377 </w:t>
      </w:r>
    </w:p>
    <w:p>
      <w:pPr>
        <w:pStyle w:val="TextBody"/>
        <w:bidi w:val="0"/>
        <w:spacing w:before="0" w:after="0"/>
        <w:jc w:val="center"/>
        <w:rPr>
          <w:rFonts w:ascii="Times New Roman" w:hAnsi="Times New Roman"/>
          <w:b/>
          <w:sz w:val="16"/>
        </w:rPr>
      </w:pPr>
      <w:r>
        <w:rPr>
          <w:rFonts w:ascii="Times New Roman" w:hAnsi="Times New Roman"/>
          <w:b/>
          <w:sz w:val="16"/>
        </w:rPr>
        <w:t xml:space="preserve">(248) 504-0500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Wayne Kauffman, Esq. </w:t>
      </w:r>
    </w:p>
    <w:p>
      <w:pPr>
        <w:pStyle w:val="TextBody"/>
        <w:bidi w:val="0"/>
        <w:spacing w:before="0" w:after="0"/>
        <w:jc w:val="center"/>
        <w:rPr>
          <w:rFonts w:ascii="Times New Roman" w:hAnsi="Times New Roman"/>
          <w:b/>
          <w:sz w:val="16"/>
        </w:rPr>
      </w:pPr>
      <w:r>
        <w:rPr>
          <w:rFonts w:ascii="Times New Roman" w:hAnsi="Times New Roman"/>
          <w:b/>
          <w:sz w:val="16"/>
        </w:rPr>
        <w:t xml:space="preserve">Senior Vice President, General Counsel and Secretary </w:t>
      </w:r>
    </w:p>
    <w:p>
      <w:pPr>
        <w:pStyle w:val="TextBody"/>
        <w:bidi w:val="0"/>
        <w:spacing w:before="0" w:after="0"/>
        <w:jc w:val="center"/>
        <w:rPr>
          <w:rFonts w:ascii="Times New Roman" w:hAnsi="Times New Roman"/>
          <w:b/>
          <w:sz w:val="16"/>
        </w:rPr>
      </w:pPr>
      <w:r>
        <w:rPr>
          <w:rFonts w:ascii="Times New Roman" w:hAnsi="Times New Roman"/>
          <w:b/>
          <w:sz w:val="16"/>
        </w:rPr>
        <w:t xml:space="preserve">Gentherm Incorporated </w:t>
      </w:r>
    </w:p>
    <w:p>
      <w:pPr>
        <w:pStyle w:val="TextBody"/>
        <w:bidi w:val="0"/>
        <w:spacing w:before="0" w:after="0"/>
        <w:jc w:val="center"/>
        <w:rPr>
          <w:rFonts w:ascii="Times New Roman" w:hAnsi="Times New Roman"/>
          <w:b/>
          <w:sz w:val="16"/>
        </w:rPr>
      </w:pPr>
      <w:r>
        <w:rPr>
          <w:rFonts w:ascii="Times New Roman" w:hAnsi="Times New Roman"/>
          <w:b/>
          <w:sz w:val="16"/>
        </w:rPr>
        <w:t xml:space="preserve">28875 Cabot Drive </w:t>
      </w:r>
    </w:p>
    <w:p>
      <w:pPr>
        <w:pStyle w:val="TextBody"/>
        <w:bidi w:val="0"/>
        <w:spacing w:before="0" w:after="0"/>
        <w:jc w:val="center"/>
        <w:rPr>
          <w:rFonts w:ascii="Times New Roman" w:hAnsi="Times New Roman"/>
          <w:b/>
          <w:sz w:val="16"/>
        </w:rPr>
      </w:pPr>
      <w:r>
        <w:rPr>
          <w:rFonts w:ascii="Times New Roman" w:hAnsi="Times New Roman"/>
          <w:b/>
          <w:sz w:val="16"/>
        </w:rPr>
        <w:t xml:space="preserve">Novi, Michigan 48377 </w:t>
      </w:r>
    </w:p>
    <w:p>
      <w:pPr>
        <w:pStyle w:val="TextBody"/>
        <w:bidi w:val="0"/>
        <w:spacing w:before="0" w:after="0"/>
        <w:jc w:val="center"/>
        <w:rPr>
          <w:rFonts w:ascii="Times New Roman" w:hAnsi="Times New Roman"/>
          <w:b/>
          <w:sz w:val="16"/>
        </w:rPr>
      </w:pPr>
      <w:r>
        <w:rPr>
          <w:rFonts w:ascii="Times New Roman" w:hAnsi="Times New Roman"/>
          <w:b/>
          <w:sz w:val="16"/>
        </w:rPr>
        <w:t xml:space="preserve">(248) 504-0500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Michael S. Ben</w:t>
            </w:r>
          </w:p>
          <w:p>
            <w:pPr>
              <w:pStyle w:val="TableContents"/>
              <w:bidi w:val="0"/>
              <w:spacing w:before="0" w:after="0"/>
              <w:jc w:val="center"/>
              <w:rPr>
                <w:rFonts w:ascii="Times New Roman" w:hAnsi="Times New Roman"/>
                <w:b/>
                <w:sz w:val="16"/>
              </w:rPr>
            </w:pPr>
            <w:r>
              <w:rPr>
                <w:rFonts w:ascii="Times New Roman" w:hAnsi="Times New Roman"/>
                <w:b/>
                <w:sz w:val="16"/>
              </w:rPr>
              <w:t>Jeffrey H. Kuras</w:t>
            </w:r>
          </w:p>
          <w:p>
            <w:pPr>
              <w:pStyle w:val="TableContents"/>
              <w:bidi w:val="0"/>
              <w:spacing w:before="0" w:after="0"/>
              <w:jc w:val="center"/>
              <w:rPr>
                <w:rFonts w:ascii="Times New Roman" w:hAnsi="Times New Roman"/>
                <w:b/>
                <w:sz w:val="16"/>
              </w:rPr>
            </w:pPr>
            <w:r>
              <w:rPr>
                <w:rFonts w:ascii="Times New Roman" w:hAnsi="Times New Roman"/>
                <w:b/>
                <w:sz w:val="16"/>
              </w:rPr>
              <w:t>Honigman LLP</w:t>
            </w:r>
          </w:p>
          <w:p>
            <w:pPr>
              <w:pStyle w:val="TableContents"/>
              <w:bidi w:val="0"/>
              <w:spacing w:before="0" w:after="0"/>
              <w:jc w:val="center"/>
              <w:rPr>
                <w:rFonts w:ascii="Times New Roman" w:hAnsi="Times New Roman"/>
                <w:b/>
                <w:sz w:val="16"/>
              </w:rPr>
            </w:pPr>
            <w:r>
              <w:rPr>
                <w:rFonts w:ascii="Times New Roman" w:hAnsi="Times New Roman"/>
                <w:b/>
                <w:sz w:val="16"/>
              </w:rPr>
              <w:t>2290 First National Building</w:t>
            </w:r>
          </w:p>
          <w:p>
            <w:pPr>
              <w:pStyle w:val="TableContents"/>
              <w:bidi w:val="0"/>
              <w:spacing w:before="0" w:after="0"/>
              <w:jc w:val="center"/>
              <w:rPr>
                <w:rFonts w:ascii="Times New Roman" w:hAnsi="Times New Roman"/>
                <w:b/>
                <w:sz w:val="16"/>
              </w:rPr>
            </w:pPr>
            <w:r>
              <w:rPr>
                <w:rFonts w:ascii="Times New Roman" w:hAnsi="Times New Roman"/>
                <w:b/>
                <w:sz w:val="16"/>
              </w:rPr>
              <w:t>660 Woodward Avenue</w:t>
            </w:r>
          </w:p>
          <w:p>
            <w:pPr>
              <w:pStyle w:val="TableContents"/>
              <w:bidi w:val="0"/>
              <w:spacing w:before="0" w:after="0"/>
              <w:jc w:val="center"/>
              <w:rPr>
                <w:rFonts w:ascii="Times New Roman" w:hAnsi="Times New Roman"/>
                <w:b/>
                <w:sz w:val="16"/>
              </w:rPr>
            </w:pPr>
            <w:r>
              <w:rPr>
                <w:rFonts w:ascii="Times New Roman" w:hAnsi="Times New Roman"/>
                <w:b/>
                <w:sz w:val="16"/>
              </w:rPr>
              <w:t>Detroit, MI 48226</w:t>
            </w:r>
          </w:p>
          <w:p>
            <w:pPr>
              <w:pStyle w:val="TableContents"/>
              <w:bidi w:val="0"/>
              <w:spacing w:before="0" w:after="20"/>
              <w:jc w:val="center"/>
              <w:rPr>
                <w:rFonts w:ascii="Times New Roman" w:hAnsi="Times New Roman"/>
                <w:b/>
                <w:sz w:val="16"/>
              </w:rPr>
            </w:pPr>
            <w:r>
              <w:rPr>
                <w:rFonts w:ascii="Times New Roman" w:hAnsi="Times New Roman"/>
                <w:b/>
                <w:sz w:val="16"/>
              </w:rPr>
              <w:t>(313) 701-9300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Bradley C. Faris</w:t>
            </w:r>
          </w:p>
          <w:p>
            <w:pPr>
              <w:pStyle w:val="TableContents"/>
              <w:bidi w:val="0"/>
              <w:spacing w:before="0" w:after="0"/>
              <w:jc w:val="center"/>
              <w:rPr>
                <w:rFonts w:ascii="Times New Roman" w:hAnsi="Times New Roman"/>
                <w:b/>
                <w:sz w:val="16"/>
              </w:rPr>
            </w:pPr>
            <w:r>
              <w:rPr>
                <w:rFonts w:ascii="Times New Roman" w:hAnsi="Times New Roman"/>
                <w:b/>
                <w:sz w:val="16"/>
              </w:rPr>
              <w:t>Jason Morelli</w:t>
            </w:r>
          </w:p>
          <w:p>
            <w:pPr>
              <w:pStyle w:val="TableContents"/>
              <w:bidi w:val="0"/>
              <w:spacing w:before="0" w:after="0"/>
              <w:jc w:val="center"/>
              <w:rPr>
                <w:rFonts w:ascii="Times New Roman" w:hAnsi="Times New Roman"/>
                <w:b/>
                <w:sz w:val="16"/>
              </w:rPr>
            </w:pPr>
            <w:r>
              <w:rPr>
                <w:rFonts w:ascii="Times New Roman" w:hAnsi="Times New Roman"/>
                <w:b/>
                <w:sz w:val="16"/>
              </w:rPr>
              <w:t>Latham &amp; Watkins LLP</w:t>
            </w:r>
          </w:p>
          <w:p>
            <w:pPr>
              <w:pStyle w:val="TableContents"/>
              <w:bidi w:val="0"/>
              <w:spacing w:before="0" w:after="0"/>
              <w:jc w:val="center"/>
              <w:rPr>
                <w:rFonts w:ascii="Times New Roman" w:hAnsi="Times New Roman"/>
                <w:b/>
                <w:sz w:val="16"/>
              </w:rPr>
            </w:pPr>
            <w:r>
              <w:rPr>
                <w:rFonts w:ascii="Times New Roman" w:hAnsi="Times New Roman"/>
                <w:b/>
                <w:sz w:val="16"/>
              </w:rPr>
              <w:t>330 N Wabash Ave, Suite 2800</w:t>
            </w:r>
          </w:p>
          <w:p>
            <w:pPr>
              <w:pStyle w:val="TableContents"/>
              <w:bidi w:val="0"/>
              <w:spacing w:before="0" w:after="0"/>
              <w:jc w:val="center"/>
              <w:rPr>
                <w:rFonts w:ascii="Times New Roman" w:hAnsi="Times New Roman"/>
                <w:b/>
                <w:sz w:val="16"/>
              </w:rPr>
            </w:pPr>
            <w:r>
              <w:rPr>
                <w:rFonts w:ascii="Times New Roman" w:hAnsi="Times New Roman"/>
                <w:b/>
                <w:sz w:val="16"/>
              </w:rPr>
              <w:t>Chicago, IL 60611</w:t>
            </w:r>
          </w:p>
          <w:p>
            <w:pPr>
              <w:pStyle w:val="TableContents"/>
              <w:bidi w:val="0"/>
              <w:spacing w:before="0" w:after="20"/>
              <w:jc w:val="center"/>
              <w:rPr>
                <w:rFonts w:ascii="Times New Roman" w:hAnsi="Times New Roman"/>
                <w:b/>
                <w:sz w:val="16"/>
              </w:rPr>
            </w:pPr>
            <w:r>
              <w:rPr>
                <w:rFonts w:ascii="Times New Roman" w:hAnsi="Times New Roman"/>
                <w:b/>
                <w:sz w:val="16"/>
              </w:rPr>
              <w:t>(312) 876-7700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Andrew Kaplan</w:t>
            </w:r>
          </w:p>
          <w:p>
            <w:pPr>
              <w:pStyle w:val="TableContents"/>
              <w:bidi w:val="0"/>
              <w:spacing w:before="0" w:after="0"/>
              <w:jc w:val="center"/>
              <w:rPr>
                <w:rFonts w:ascii="Times New Roman" w:hAnsi="Times New Roman"/>
                <w:b/>
                <w:sz w:val="16"/>
              </w:rPr>
            </w:pPr>
            <w:r>
              <w:rPr>
                <w:rFonts w:ascii="Times New Roman" w:hAnsi="Times New Roman"/>
                <w:b/>
                <w:sz w:val="16"/>
              </w:rPr>
              <w:t>Stewart McDowell</w:t>
            </w:r>
          </w:p>
          <w:p>
            <w:pPr>
              <w:pStyle w:val="TableContents"/>
              <w:bidi w:val="0"/>
              <w:spacing w:before="0" w:after="0"/>
              <w:jc w:val="center"/>
              <w:rPr>
                <w:rFonts w:ascii="Times New Roman" w:hAnsi="Times New Roman"/>
                <w:b/>
                <w:sz w:val="16"/>
              </w:rPr>
            </w:pPr>
            <w:r>
              <w:rPr>
                <w:rFonts w:ascii="Times New Roman" w:hAnsi="Times New Roman"/>
                <w:b/>
                <w:sz w:val="16"/>
              </w:rPr>
              <w:t>Gibson, Dunn &amp; Crutcher LLP</w:t>
            </w:r>
          </w:p>
          <w:p>
            <w:pPr>
              <w:pStyle w:val="TableContents"/>
              <w:bidi w:val="0"/>
              <w:spacing w:before="0" w:after="0"/>
              <w:jc w:val="center"/>
              <w:rPr>
                <w:rFonts w:ascii="Times New Roman" w:hAnsi="Times New Roman"/>
                <w:b/>
                <w:sz w:val="16"/>
              </w:rPr>
            </w:pPr>
            <w:r>
              <w:rPr>
                <w:rFonts w:ascii="Times New Roman" w:hAnsi="Times New Roman"/>
                <w:b/>
                <w:sz w:val="16"/>
              </w:rPr>
              <w:t>200 Park Avenue</w:t>
            </w:r>
          </w:p>
          <w:p>
            <w:pPr>
              <w:pStyle w:val="TableContents"/>
              <w:bidi w:val="0"/>
              <w:spacing w:before="0" w:after="0"/>
              <w:jc w:val="center"/>
              <w:rPr>
                <w:rFonts w:ascii="Times New Roman" w:hAnsi="Times New Roman"/>
                <w:b/>
                <w:sz w:val="16"/>
              </w:rPr>
            </w:pPr>
            <w:r>
              <w:rPr>
                <w:rFonts w:ascii="Times New Roman" w:hAnsi="Times New Roman"/>
                <w:b/>
                <w:sz w:val="16"/>
              </w:rPr>
              <w:t>New York, NY 10166</w:t>
            </w:r>
          </w:p>
          <w:p>
            <w:pPr>
              <w:pStyle w:val="TableContents"/>
              <w:bidi w:val="0"/>
              <w:spacing w:before="0" w:after="20"/>
              <w:jc w:val="center"/>
              <w:rPr>
                <w:rFonts w:ascii="Times New Roman" w:hAnsi="Times New Roman"/>
                <w:b/>
                <w:sz w:val="16"/>
              </w:rPr>
            </w:pPr>
            <w:r>
              <w:rPr>
                <w:rFonts w:ascii="Times New Roman" w:hAnsi="Times New Roman"/>
                <w:b/>
                <w:sz w:val="16"/>
              </w:rPr>
              <w:t>(212) 351-4000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b/>
          <w:sz w:val="16"/>
        </w:rPr>
        <w:t xml:space="preserve">Approximate date of commencement of proposed sale of the securities to the public: </w:t>
      </w:r>
      <w:r>
        <w:rPr>
          <w:rFonts w:ascii="Times New Roman" w:hAnsi="Times New Roman"/>
          <w:sz w:val="16"/>
        </w:rPr>
        <w:t xml:space="preserve">As soon as practicable after this Registration Statement is declared effective and the date on which all other conditions to the Distribution and Merger described in the enclosed proxy statement/prospectus have been satisfied or waived. </w:t>
      </w:r>
    </w:p>
    <w:p>
      <w:pPr>
        <w:pStyle w:val="TextBody"/>
        <w:bidi w:val="0"/>
        <w:spacing w:before="60" w:after="0"/>
        <w:jc w:val="left"/>
        <w:rPr>
          <w:rFonts w:ascii="Times New Roman" w:hAnsi="Times New Roman"/>
          <w:sz w:val="16"/>
        </w:rPr>
      </w:pPr>
      <w:r>
        <w:rPr>
          <w:rFonts w:ascii="Times New Roman" w:hAnsi="Times New Roman"/>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13e-4(i) (Cross-Border Issuer Tender Offer) ☐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is filing this Amendment No. 2 to the Registration Statement on Form S-4 (File No. 333-297224), originally filed on July 2, 2026 and amended on August 5, 2026 (as amended, the “Registration Statement”), to file new Exhibits 8.2 and 107. Accordingly, this Amendment No. 2 consists only of the facing page, this explanatory note and Item 21 of Part II of the Registration Statement. The remainder of the Registration Statement is unchanged and has thus been omitted.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21. Exhibits and Financial Statements Schedules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exhibits filed as part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
        <w:gridCol w:w="410"/>
        <w:gridCol w:w="9230"/>
      </w:tblGrid>
      <w:tr>
        <w:trPr/>
        <w:tc>
          <w:tcPr>
            <w:tcW w:w="56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9230" w:type="dxa"/>
            <w:tcBorders/>
            <w:vAlign w:val="center"/>
          </w:tcPr>
          <w:p>
            <w:pPr>
              <w:pStyle w:val="TableContents"/>
              <w:bidi w:val="0"/>
              <w:spacing w:before="0" w:after="283"/>
              <w:jc w:val="left"/>
              <w:rPr>
                <w:sz w:val="4"/>
                <w:szCs w:val="4"/>
              </w:rPr>
            </w:pPr>
            <w:r>
              <w:rPr>
                <w:sz w:val="4"/>
                <w:szCs w:val="4"/>
              </w:rPr>
            </w:r>
          </w:p>
        </w:tc>
      </w:tr>
      <w:tr>
        <w:trPr/>
        <w:tc>
          <w:tcPr>
            <w:tcW w:w="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410" w:type="dxa"/>
            <w:tcBorders/>
            <w:vAlign w:val="bottom"/>
          </w:tcPr>
          <w:p>
            <w:pPr>
              <w:pStyle w:val="TableContents"/>
              <w:bidi w:val="0"/>
              <w:spacing w:before="0" w:after="283"/>
              <w:jc w:val="left"/>
              <w:rPr/>
            </w:pPr>
            <w:r>
              <w:rPr/>
              <w:t>  </w:t>
            </w:r>
          </w:p>
        </w:tc>
        <w:tc>
          <w:tcPr>
            <w:tcW w:w="9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2">
              <w:r>
                <w:rPr>
                  <w:rStyle w:val="InternetLink"/>
                </w:rPr>
                <w:t>Separation Agreement, dated as of January  29, 2026, by and among Modine Manufacturing Company, Gentherm Incorporated, and the other parties named therein (incorporated by reference to Exhibit 2.1 to Gentherm Incorporated’s Current Report on Form 8-K filed on January 29, 2026) (File No. 001-14010)).</w:t>
              </w:r>
            </w:hyperlink>
            <w:r>
              <w:rPr/>
              <w:t></w:t>
            </w:r>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2.2</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3">
              <w:r>
                <w:rPr>
                  <w:rStyle w:val="InternetLink"/>
                </w:rPr>
                <w:t>Agreement and Plan of Merger, dated as of January  29, 2026, by and among Gentherm Incorporated, Modine Manufacturing Company, and the other parties named therein (incorporated by reference to Exhibit 2.2 to Gentherm Incorporated’s Current Report on Form 8-K filed on January 29, 2026) (File No. 001-14010)).</w:t>
              </w:r>
            </w:hyperlink>
            <w:r>
              <w:rPr/>
              <w:t></w:t>
            </w:r>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3.1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4">
              <w:r>
                <w:rPr>
                  <w:rStyle w:val="InternetLink"/>
                </w:rPr>
                <w:t>Second Amended and Restated Articles of Incorporation of Gentherm Incorporated, dated as of March  5, 2018 (Incorporated by reference to Gentherm Incorporated’s Current Report on Form 8-K dated March 5, 2018).</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3.2</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5">
              <w:r>
                <w:rPr>
                  <w:rStyle w:val="InternetLink"/>
                </w:rPr>
                <w:t>Amended and Restated Bylaws of Gentherm Incorporated, dated as of May  26, 2016 (Incorporated by reference to Gentherm Incorporated’s Current Report on Form 8-K dated May 26, 2016).</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5.1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6">
              <w:r>
                <w:rPr>
                  <w:rStyle w:val="InternetLink"/>
                </w:rPr>
                <w:t xml:space="preserve">Opinion of Honigman LLP.*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8.1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7">
              <w:r>
                <w:rPr>
                  <w:rStyle w:val="InternetLink"/>
                </w:rPr>
                <w:t xml:space="preserve">Opinion of Latham &amp; Watkins LLP as to certain tax matters.*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8.2</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w:anchor="d62860dex82.htm">
              <w:r>
                <w:rPr>
                  <w:rStyle w:val="InternetLink"/>
                </w:rPr>
                <w:t xml:space="preserve">Opinion of Gibson, Dunn &amp; Crutcher LLP as to certain tax matters.+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8">
              <w:r>
                <w:rPr>
                  <w:rStyle w:val="InternetLink"/>
                </w:rPr>
                <w:t xml:space="preserve">Form of Transition Services Agreement.*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10.2</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9">
              <w:r>
                <w:rPr>
                  <w:rStyle w:val="InternetLink"/>
                </w:rPr>
                <w:t xml:space="preserve">Form of Tax Matters Agreement.*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10.3</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0">
              <w:r>
                <w:rPr>
                  <w:rStyle w:val="InternetLink"/>
                </w:rPr>
                <w:t xml:space="preserve">Form of Intellectual Property Matters Agreement.*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10.4</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1">
              <w:r>
                <w:rPr>
                  <w:rStyle w:val="InternetLink"/>
                </w:rPr>
                <w:t xml:space="preserve">Form of Employee Matters Agreement.*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10.5</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2">
              <w:r>
                <w:rPr>
                  <w:rStyle w:val="InternetLink"/>
                </w:rPr>
                <w:t xml:space="preserve">Form of Trademark Matters Agreement.*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10.6</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3">
              <w:r>
                <w:rPr>
                  <w:rStyle w:val="InternetLink"/>
                </w:rPr>
                <w:t xml:space="preserve">Credit Agreement, dated as of July  29, 2026, by and among Platinum SpinCo Inc., the guarantors and lenders from time to time party thereto and Bank of America, N. A., as administrative agent.*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21.1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4">
              <w:r>
                <w:rPr>
                  <w:rStyle w:val="InternetLink"/>
                </w:rPr>
                <w:t xml:space="preserve">Subsidiaries of Gentherm Incorporated.*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23.1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5">
              <w:r>
                <w:rPr>
                  <w:rStyle w:val="InternetLink"/>
                </w:rPr>
                <w:t xml:space="preserve">Consent of Honigman LLP (included as Exhibit 5.1).*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23.2</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6">
              <w:r>
                <w:rPr>
                  <w:rStyle w:val="InternetLink"/>
                </w:rPr>
                <w:t xml:space="preserve">Consent of Latham &amp; Watkins LLP as to certain tax matters (included in Exhibit 8.1).*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23.3</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w:anchor="d62860dex82.htm">
              <w:r>
                <w:rPr>
                  <w:rStyle w:val="InternetLink"/>
                </w:rPr>
                <w:t xml:space="preserve">Consent of Gibson, Dunn &amp; Crutcher LLP as to certain tax matters (included in Exhibit 8.2).+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23.4</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7">
              <w:r>
                <w:rPr>
                  <w:rStyle w:val="InternetLink"/>
                </w:rPr>
                <w:t xml:space="preserve">Consent of Ernst &amp; Young LLP as to the historical financial statements of Gentherm Incorporated.*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23.5</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8">
              <w:r>
                <w:rPr>
                  <w:rStyle w:val="InternetLink"/>
                </w:rPr>
                <w:t xml:space="preserve">Consent of KPMG LLP as to the audited financial statements of the Performance Technologies Business.*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24.1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r>
              <w:fldChar w:fldCharType="begin"/>
            </w:r>
            <w:r>
              <w:rPr>
                <w:rStyle w:val="InternetLink"/>
              </w:rPr>
              <w:instrText xml:space="preserve"> HYPERLINK "http://www.sec.gov/Archives/edgar/data/0000903129/000119312526293486/d52416ds4.htm" \l "sig"</w:instrText>
            </w:r>
            <w:r>
              <w:rPr>
                <w:rStyle w:val="InternetLink"/>
              </w:rPr>
              <w:fldChar w:fldCharType="separate"/>
            </w:r>
            <w:r>
              <w:rPr>
                <w:rStyle w:val="InternetLink"/>
              </w:rPr>
              <w:t xml:space="preserve">Power of Attorney (included on signature page to the initial filing of this Registration Statement).* </w:t>
            </w:r>
            <w:r>
              <w:rPr>
                <w:rStyle w:val="InternetLink"/>
              </w:rPr>
              <w:fldChar w:fldCharType="end"/>
            </w:r>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 </w:t>
            </w:r>
            <w:r>
              <w:rPr/>
              <w:t>99.1</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r:id="rId19">
              <w:r>
                <w:rPr>
                  <w:rStyle w:val="InternetLink"/>
                </w:rPr>
                <w:t xml:space="preserve">Consent of Barclays Capital, Inc., as financial advisor to Gentherm Incorporated.* </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107</w:t>
            </w:r>
          </w:p>
        </w:tc>
        <w:tc>
          <w:tcPr>
            <w:tcW w:w="410" w:type="dxa"/>
            <w:tcBorders/>
            <w:vAlign w:val="bottom"/>
          </w:tcPr>
          <w:p>
            <w:pPr>
              <w:pStyle w:val="TableContents"/>
              <w:bidi w:val="0"/>
              <w:spacing w:before="0" w:after="283"/>
              <w:jc w:val="left"/>
              <w:rPr/>
            </w:pPr>
            <w:r>
              <w:rPr/>
              <w:t>  </w:t>
            </w:r>
          </w:p>
        </w:tc>
        <w:tc>
          <w:tcPr>
            <w:tcW w:w="9230" w:type="dxa"/>
            <w:tcBorders/>
          </w:tcPr>
          <w:p>
            <w:pPr>
              <w:pStyle w:val="TableContents"/>
              <w:bidi w:val="0"/>
              <w:spacing w:before="0" w:after="283"/>
              <w:jc w:val="left"/>
              <w:rPr/>
            </w:pPr>
            <w:hyperlink w:anchor="d6286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(or similar attachments) to this Exhibit have been omitted in accordance with Items 601(a)(5) and/or 601(b) (2) of Regulation S-K. Gentherm Incorporated agrees to furnish supplementally a copy of all omitted schedules to the Securities and Exchange Commission on a confidential basis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Town of Novi, Michigan, on this 10th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GENTHERM INCORPORATED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William Presley</w:t>
            </w:r>
          </w:p>
        </w:tc>
      </w:tr>
      <w:tr>
        <w:trPr/>
        <w:tc>
          <w:tcPr>
            <w:tcW w:w="4082" w:type="dxa"/>
            <w:gridSpan w:val="3"/>
            <w:tcBorders/>
          </w:tcPr>
          <w:p>
            <w:pPr>
              <w:pStyle w:val="TableContents"/>
              <w:bidi w:val="0"/>
              <w:spacing w:before="0" w:after="283"/>
              <w:jc w:val="left"/>
              <w:rPr/>
            </w:pPr>
            <w:r>
              <w:rPr/>
              <w:t>Name: William Presley</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as of the 10th day of August,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35"/>
        <w:gridCol w:w="209"/>
        <w:gridCol w:w="7261"/>
      </w:tblGrid>
      <w:tr>
        <w:trPr/>
        <w:tc>
          <w:tcPr>
            <w:tcW w:w="273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7261" w:type="dxa"/>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9" w:type="dxa"/>
            <w:tcBorders/>
            <w:vAlign w:val="bottom"/>
          </w:tcPr>
          <w:p>
            <w:pPr>
              <w:pStyle w:val="TableContents"/>
              <w:bidi w:val="0"/>
              <w:spacing w:before="0" w:after="283"/>
              <w:jc w:val="left"/>
              <w:rPr/>
            </w:pPr>
            <w:r>
              <w:rPr/>
              <w:t>  </w:t>
            </w:r>
          </w:p>
        </w:tc>
        <w:tc>
          <w:tcPr>
            <w:tcW w:w="72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Presley</w:t>
            </w:r>
          </w:p>
          <w:p>
            <w:pPr>
              <w:pStyle w:val="TableContents"/>
              <w:bidi w:val="0"/>
              <w:spacing w:before="0" w:after="20"/>
              <w:jc w:val="center"/>
              <w:rPr>
                <w:rFonts w:ascii="Times New Roman" w:hAnsi="Times New Roman"/>
                <w:sz w:val="20"/>
              </w:rPr>
            </w:pPr>
            <w:r>
              <w:rPr>
                <w:rFonts w:ascii="Times New Roman" w:hAnsi="Times New Roman"/>
                <w:sz w:val="20"/>
              </w:rPr>
              <w:t>William Presley</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 President and Chief Executive Officer (Principal Executive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Jonathan Douyard</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Chief Financial Officer and Treasurer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Nicholas Breisacher</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Ronald Hundzinski</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 Chair of the Board</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Sophie Desormière</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Heinzmann</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Laura Kowalchik</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Charles Kummeth</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Betsy Meter</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John Stacey</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Kenneth Washington</w:t>
            </w:r>
          </w:p>
        </w:tc>
        <w:tc>
          <w:tcPr>
            <w:tcW w:w="209"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left"/>
              <w:rPr/>
            </w:pPr>
            <w:r>
              <w:rPr/>
              <w:t>/s/ William Presley</w:t>
            </w:r>
          </w:p>
        </w:tc>
      </w:tr>
      <w:tr>
        <w:trPr/>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283"/>
              <w:jc w:val="left"/>
              <w:rPr/>
            </w:pPr>
            <w:r>
              <w:rPr/>
              <w:t>William Presley</w:t>
            </w:r>
          </w:p>
        </w:tc>
      </w:tr>
      <w:tr>
        <w:trPr/>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p>
    <w:p>
      <w:pPr>
        <w:pStyle w:val="TextBody"/>
        <w:bidi w:val="0"/>
        <w:spacing w:before="0" w:after="0"/>
        <w:jc w:val="right"/>
        <w:rPr>
          <w:rFonts w:ascii="Times New Roman" w:hAnsi="Times New Roman"/>
          <w:b/>
          <w:sz w:val="20"/>
        </w:rPr>
      </w:pPr>
      <w:bookmarkStart w:id="2" w:name="d62860dex82.htm"/>
      <w:bookmarkStart w:id="3" w:name="ksd62860dex82"/>
      <w:bookmarkEnd w:id="2"/>
      <w:bookmarkEnd w:id="3"/>
      <w:r>
        <w:rPr>
          <w:rFonts w:ascii="Times New Roman" w:hAnsi="Times New Roman"/>
          <w:b/>
          <w:sz w:val="20"/>
        </w:rPr>
        <w:t xml:space="preserve">EXHIBIT 8.2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drawing>
                <wp:inline distT="0" distB="0" distL="0" distR="0">
                  <wp:extent cx="19050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905000" cy="32385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200 Park Avenue</w:t>
            </w:r>
          </w:p>
          <w:p>
            <w:pPr>
              <w:pStyle w:val="TableContents"/>
              <w:bidi w:val="0"/>
              <w:spacing w:before="0" w:after="0"/>
              <w:jc w:val="left"/>
              <w:rPr>
                <w:rFonts w:ascii="Times New Roman" w:hAnsi="Times New Roman"/>
                <w:sz w:val="20"/>
              </w:rPr>
            </w:pPr>
            <w:r>
              <w:rPr>
                <w:rFonts w:ascii="Times New Roman" w:hAnsi="Times New Roman"/>
                <w:sz w:val="20"/>
              </w:rPr>
              <w:t>New York, NY 10166</w:t>
            </w:r>
          </w:p>
          <w:p>
            <w:pPr>
              <w:pStyle w:val="TableContents"/>
              <w:bidi w:val="0"/>
              <w:spacing w:before="0" w:after="0"/>
              <w:jc w:val="left"/>
              <w:rPr>
                <w:rFonts w:ascii="Times New Roman" w:hAnsi="Times New Roman"/>
                <w:sz w:val="20"/>
              </w:rPr>
            </w:pPr>
            <w:r>
              <w:rPr>
                <w:rFonts w:ascii="Times New Roman" w:hAnsi="Times New Roman"/>
                <w:sz w:val="20"/>
              </w:rPr>
              <w:t>Tel +1 650.849.5300</w:t>
            </w:r>
          </w:p>
          <w:p>
            <w:pPr>
              <w:pStyle w:val="TableContents"/>
              <w:bidi w:val="0"/>
              <w:spacing w:before="0" w:after="20"/>
              <w:jc w:val="left"/>
              <w:rPr>
                <w:rFonts w:ascii="Times New Roman" w:hAnsi="Times New Roman"/>
                <w:sz w:val="20"/>
              </w:rPr>
            </w:pPr>
            <w:r>
              <w:rPr>
                <w:rFonts w:ascii="Times New Roman" w:hAnsi="Times New Roman"/>
                <w:sz w:val="20"/>
              </w:rPr>
              <w:t>www.gibsondunn.com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DeKoven Avenue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U.S. tax counsel to Modine Manufacturing Company, a Wisconsin corporation (“</w:t>
      </w:r>
      <w:r>
        <w:rPr>
          <w:rFonts w:ascii="Times New Roman" w:hAnsi="Times New Roman"/>
          <w:sz w:val="20"/>
          <w:u w:val="single"/>
        </w:rPr>
        <w:t>Modine</w:t>
      </w:r>
      <w:r>
        <w:rPr>
          <w:rFonts w:ascii="Times New Roman" w:hAnsi="Times New Roman"/>
          <w:sz w:val="20"/>
        </w:rPr>
        <w:t>”), in connection with (i) the proposed distribution (the “</w:t>
      </w:r>
      <w:r>
        <w:rPr>
          <w:rFonts w:ascii="Times New Roman" w:hAnsi="Times New Roman"/>
          <w:sz w:val="20"/>
          <w:u w:val="single"/>
        </w:rPr>
        <w:t>Distribution</w:t>
      </w:r>
      <w:r>
        <w:rPr>
          <w:rFonts w:ascii="Times New Roman" w:hAnsi="Times New Roman"/>
          <w:sz w:val="20"/>
        </w:rPr>
        <w:t>”) of shares of common stock of Platinum SpinCo Inc., a Delaware corporation and a wholly owned indirect subsidiary of Modine (“</w:t>
      </w:r>
      <w:r>
        <w:rPr>
          <w:rFonts w:ascii="Times New Roman" w:hAnsi="Times New Roman"/>
          <w:sz w:val="20"/>
          <w:u w:val="single"/>
        </w:rPr>
        <w:t>SpinCo</w:t>
      </w:r>
      <w:r>
        <w:rPr>
          <w:rFonts w:ascii="Times New Roman" w:hAnsi="Times New Roman"/>
          <w:sz w:val="20"/>
        </w:rPr>
        <w:t>”), by Modine to holders of shares of its common stock (“</w:t>
      </w:r>
      <w:r>
        <w:rPr>
          <w:rFonts w:ascii="Times New Roman" w:hAnsi="Times New Roman"/>
          <w:sz w:val="20"/>
          <w:u w:val="single"/>
        </w:rPr>
        <w:t>Modine Common Stock</w:t>
      </w:r>
      <w:r>
        <w:rPr>
          <w:rFonts w:ascii="Times New Roman" w:hAnsi="Times New Roman"/>
          <w:sz w:val="20"/>
        </w:rPr>
        <w:t>”), and certain other related transactions, followed by (ii) the merger (the “</w:t>
      </w:r>
      <w:r>
        <w:rPr>
          <w:rFonts w:ascii="Times New Roman" w:hAnsi="Times New Roman"/>
          <w:sz w:val="20"/>
          <w:u w:val="single"/>
        </w:rPr>
        <w:t>Merger</w:t>
      </w:r>
      <w:r>
        <w:rPr>
          <w:rFonts w:ascii="Times New Roman" w:hAnsi="Times New Roman"/>
          <w:sz w:val="20"/>
        </w:rPr>
        <w:t>”) of Platinum Gold Merger Sub Inc., a Delaware corporation and a wholly owned subsidiary of Gentherm Incorporated, a Michigan corporation (“</w:t>
      </w:r>
      <w:r>
        <w:rPr>
          <w:rFonts w:ascii="Times New Roman" w:hAnsi="Times New Roman"/>
          <w:sz w:val="20"/>
          <w:u w:val="single"/>
        </w:rPr>
        <w:t>Gentherm</w:t>
      </w:r>
      <w:r>
        <w:rPr>
          <w:rFonts w:ascii="Times New Roman" w:hAnsi="Times New Roman"/>
          <w:sz w:val="20"/>
        </w:rPr>
        <w:t>”), with and into SpinCo, with SpinCo continuing as the surviving corporation and becoming a wholly owned subsidiary of Gentherm.1 At your request, and in connection with the filing by Gentherm of the registration statement on Form S-4 (Registration No. 333-297224) (including the proxy statement/prospectus contained therein, the “</w:t>
      </w:r>
      <w:r>
        <w:rPr>
          <w:rFonts w:ascii="Times New Roman" w:hAnsi="Times New Roman"/>
          <w:sz w:val="20"/>
          <w:u w:val="single"/>
        </w:rPr>
        <w:t>Registration Statement</w:t>
      </w:r>
      <w:r>
        <w:rPr>
          <w:rFonts w:ascii="Times New Roman" w:hAnsi="Times New Roman"/>
          <w:sz w:val="20"/>
        </w:rPr>
        <w:t>”), this letter sets forth our opinion (the “</w:t>
      </w:r>
      <w:r>
        <w:rPr>
          <w:rFonts w:ascii="Times New Roman" w:hAnsi="Times New Roman"/>
          <w:sz w:val="20"/>
          <w:u w:val="single"/>
        </w:rPr>
        <w:t>Opinion</w:t>
      </w:r>
      <w:r>
        <w:rPr>
          <w:rFonts w:ascii="Times New Roman" w:hAnsi="Times New Roman"/>
          <w:sz w:val="20"/>
        </w:rPr>
        <w:t>”) concerning certain U.S. federal income tax consequences of the Distribution and the Merger (collectively, the “</w:t>
      </w:r>
      <w:r>
        <w:rPr>
          <w:rFonts w:ascii="Times New Roman" w:hAnsi="Times New Roman"/>
          <w:sz w:val="20"/>
          <w:u w:val="single"/>
        </w:rPr>
        <w:t>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Opinion, we have examined and relied on the Merger Agreement, the Separation and Distribution Agreement dated as of January 29, 2026, by and among Modine, Gentherm, and SpinCo (the “</w:t>
      </w:r>
      <w:r>
        <w:rPr>
          <w:rFonts w:ascii="Times New Roman" w:hAnsi="Times New Roman"/>
          <w:sz w:val="20"/>
          <w:u w:val="single"/>
        </w:rPr>
        <w:t>Separation Agreement</w:t>
      </w:r>
      <w:r>
        <w:rPr>
          <w:rFonts w:ascii="Times New Roman" w:hAnsi="Times New Roman"/>
          <w:sz w:val="20"/>
        </w:rPr>
        <w:t>”), the form of Tax Matters Agreement by and among Modine, SpinCo, and Gentherm attached to the Merger Agreement (the “</w:t>
      </w:r>
      <w:r>
        <w:rPr>
          <w:rFonts w:ascii="Times New Roman" w:hAnsi="Times New Roman"/>
          <w:sz w:val="20"/>
          <w:u w:val="single"/>
        </w:rPr>
        <w:t>Tax Matters Agreement</w:t>
      </w:r>
      <w:r>
        <w:rPr>
          <w:rFonts w:ascii="Times New Roman" w:hAnsi="Times New Roman"/>
          <w:sz w:val="20"/>
        </w:rPr>
        <w:t>”), the Registration Statement (collectively, the “</w:t>
      </w:r>
      <w:r>
        <w:rPr>
          <w:rFonts w:ascii="Times New Roman" w:hAnsi="Times New Roman"/>
          <w:sz w:val="20"/>
          <w:u w:val="single"/>
        </w:rPr>
        <w:t>Transaction Documents</w:t>
      </w:r>
      <w:r>
        <w:rPr>
          <w:rFonts w:ascii="Times New Roman" w:hAnsi="Times New Roman"/>
          <w:sz w:val="20"/>
        </w:rPr>
        <w:t>”), the request for a private letter ruling submitted by Modine to the Internal Revenue Service (the “</w:t>
      </w:r>
      <w:r>
        <w:rPr>
          <w:rFonts w:ascii="Times New Roman" w:hAnsi="Times New Roman"/>
          <w:sz w:val="20"/>
          <w:u w:val="single"/>
        </w:rPr>
        <w:t>IRS</w:t>
      </w:r>
      <w:r>
        <w:rPr>
          <w:rFonts w:ascii="Times New Roman" w:hAnsi="Times New Roman"/>
          <w:sz w:val="20"/>
        </w:rPr>
        <w:t>”) on June 3, 2026 (including all exhibits and other attachments to that request), together with all supplemental filings related to such request submitted by Modine to the IRS through the date of the Opinion (collectively, the “</w:t>
      </w:r>
      <w:r>
        <w:rPr>
          <w:rFonts w:ascii="Times New Roman" w:hAnsi="Times New Roman"/>
          <w:sz w:val="20"/>
          <w:u w:val="single"/>
        </w:rPr>
        <w:t>IRS Ruling Request</w:t>
      </w:r>
      <w:r>
        <w:rPr>
          <w:rFonts w:ascii="Times New Roman" w:hAnsi="Times New Roman"/>
          <w:sz w:val="20"/>
        </w:rPr>
        <w:t xml:space="preserve">”), and such other documents as we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terms not defined herein have the meanings specified in the Agreement and Plan of Merger dated as of January 29, 2026 (the “</w:t>
            </w:r>
            <w:r>
              <w:rPr>
                <w:rFonts w:ascii="Times New Roman" w:hAnsi="Times New Roman"/>
                <w:sz w:val="20"/>
                <w:u w:val="single"/>
              </w:rPr>
              <w:t>Merger Agreement</w:t>
            </w:r>
            <w:r>
              <w:rPr>
                <w:rFonts w:ascii="Times New Roman" w:hAnsi="Times New Roman"/>
                <w:sz w:val="20"/>
              </w:rPr>
              <w:t>”), by and among Modine, SpinCo, and Gentherm (collectively, the “</w:t>
            </w:r>
            <w:r>
              <w:rPr>
                <w:rFonts w:ascii="Times New Roman" w:hAnsi="Times New Roman"/>
                <w:sz w:val="20"/>
                <w:u w:val="single"/>
              </w:rPr>
              <w:t>Parties</w:t>
            </w:r>
            <w:r>
              <w:rPr>
                <w:rFonts w:ascii="Times New Roman" w:hAnsi="Times New Roman"/>
                <w:sz w:val="20"/>
              </w:rPr>
              <w:t>”), unless otherwise indicated. All “section” references are to the Internal Revenue Code of 1986, as amended (the “</w:t>
            </w:r>
            <w:r>
              <w:rPr>
                <w:rFonts w:ascii="Times New Roman" w:hAnsi="Times New Roman"/>
                <w:sz w:val="20"/>
                <w:u w:val="single"/>
              </w:rPr>
              <w:t>Code</w:t>
            </w:r>
            <w:r>
              <w:rPr>
                <w:rFonts w:ascii="Times New Roman" w:hAnsi="Times New Roman"/>
                <w:sz w:val="20"/>
              </w:rPr>
              <w:t>”), or to the Treasury regulations promulgated thereunder (the “</w:t>
            </w:r>
            <w:r>
              <w:rPr>
                <w:rFonts w:ascii="Times New Roman" w:hAnsi="Times New Roman"/>
                <w:sz w:val="20"/>
                <w:u w:val="single"/>
              </w:rPr>
              <w:t>Treasury Regulations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have deemed necessary or appropriate to render the Opinion. We have also relied on the accuracy and completeness of certain statements, representations, warranties, covenants, and information provided by representatives of Modine and Gentherm, including the accuracy and completeness of all statements and representations set forth in the officer’s certificates dated as of the date hereof received by us from each of Modine, on behalf of itself and SpinCo, and Gentherm (collectively, the “</w:t>
      </w:r>
      <w:r>
        <w:rPr>
          <w:rFonts w:ascii="Times New Roman" w:hAnsi="Times New Roman"/>
          <w:sz w:val="20"/>
          <w:u w:val="single"/>
        </w:rPr>
        <w:t>Officer’s Certificates</w:t>
      </w:r>
      <w:r>
        <w:rPr>
          <w:rFonts w:ascii="Times New Roman" w:hAnsi="Times New Roman"/>
          <w:sz w:val="20"/>
        </w:rPr>
        <w:t xml:space="preserve">”). In our examination, we have assumed the genuineness of all signatures, the legal capacity of natural persons, the due authorization, execution and delivery of the Transaction Documents, the enforceability of the Transaction Documents,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we have assumed that (i) the Transactions will be consummated in the manner described in the Transaction Documents, the IRS Ruling Request, and the Officer’s Certificates, and none of the material terms and conditions of the Transaction Documents have been or will be waived or modified, (ii) the statements, representations, warranties, covenants, and information set forth in the Transaction Documents, the IRS Ruling Request, and the Officer’s Certificates are true, complete, and correct and will remain true, complete, and correct at all times up to and including the Closing and thereafter, (iii) any such statements, representations, warranties, covenants, or information qualified by knowledge, intention, belief, or any other similar qualification are true, complete, and correct, and will remain true, complete, and correct at all times up to and including the Closing and thereafter, in each case as if made without that qualification, (iv) there are no documents or understandings between any of the Parties that would alter, or are inconsistent with, the terms or representations set forth in the Transaction Documents, the IRS Ruling Request, and the Officer’s Certificates, and (v) the IRS will grant the rulings requested in the IRS Ruling Request in substantially the form so requested. We have also assumed that (1) the Parties have complied with, and will continue to comply with, the obligations, covenants, and agreements contained in the Transaction Documents, (2) representation letters made as of the time of the Transactions that are substantially similar to the Officer’s Certificates will be executed and delivered to us by appropriate officers of each of Modine and Gentherm, and (3) we will deliver the Distribution Tax Opinion and the Company Merger Tax Opinion as of the Closing Date as contemplated by the Merger Agreement. In addition, the Opinion is based solely on the documents that we have examined, the additional information that we have obtained, and the statements referred to above. No assurance can be given as to the effect on the Opinion if any of the foregoing assumptions is or becomes inaccurate.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does not address the application of section 355(e) to the Distribution or the U.S. federal income tax consequences of the Distribution to Modine. As described in the Registration Statement, Modine intends to rely on the IRS Ruling with respect to, among other things, the application of the overlapping shareholder exception in section 355(e)(3)(A)(iv) to establish that one or more persons will not acquire directly or indirectly equity representing a 50-percent or greater interest in Modine or SpinCo for purposes of section 355(e). Modine’s obligation to complete the Transactions is conditioned on the receipt of the IRS Ruling and its continuing effectiveness and validity.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and subject to the assumptions and qualifications set forth herein and in the Registration Statement, we are of the opinion that, under current U.S. federal income tax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Contribution (as defined in the Separation Agreement), taken together with the Distribution, will qualify as a reorganization under sections 355, 361, and 368(a)(1)(D);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(as defined in the Registration Statement) of Modine Common Stock as a result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SpinCo Common Stock received by each U.S. Holder will include the holding period of its Modine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qualify as a reorganization within the meaning of section 368(a);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SpinCo Common Stock will not recognize any gain or loss solely as a result of the exchange of shares of SpinCo Common Stock for Gentherm Common Stock (each as defined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7.</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of Gentherm Common Stock received in the Merger will be the same as the aggregate tax basis of the SpinCo Common Stock for which it is exchanged, including any fractional share interest for which cash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for Gentherm Common Stock received in exchange for shares of SpinCo Common Stock will include the holding period of the SpinCo Common Stock for which it is exchanged; and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on any issue relating to the tax consequences of the Transactions contemplated by the Registration Statement other than the Opinion set forth above. The Opinion is based on current provisions of the Code, the Treasury Regulations, published pronouncements of the IRS, and case law, any of which may be changed at any time with retroactive effect. Any change in applicable laws or the facts and circumstances surrounding the Transactions, or any inaccuracy in the statements, facts, assumptions, or representations upon which we have relied, may affect the continuing validity of the Opinion as set forth in this letter. We assume no responsibility to inform you of any such change or inaccuracy that may occur or come to our attention.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the Opinion to you in connection with the filing of the Registration Statement, and the Opinion letter may not be relied on for any other purpose without our prior written consent. We hereby consent to the filing of the Opinion with the Securities and Exchange Commission as an exhibit to the Registration Statement and to the references to our firm name in the Registration Statement. In giving such consent, we do not admit that we are in the category of persons whose consent is required under Section 7 of the Securities Act of 1933, as amended, or the rules and regulations of the Securities and Exchange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Normal"/>
        <w:bidi w:val="0"/>
        <w:spacing w:before="0" w:after="0"/>
        <w:jc w:val="left"/>
        <w:rPr>
          <w:sz w:val="4"/>
          <w:szCs w:val="4"/>
        </w:rPr>
      </w:pPr>
      <w:r>
        <w:rPr>
          <w:sz w:val="4"/>
          <w:szCs w:val="4"/>
        </w:rPr>
      </w:r>
      <w:bookmarkStart w:id="4" w:name="d62860dexfilingfees.htm"/>
      <w:bookmarkStart w:id="5" w:name="ksd62860dexfilingfees"/>
      <w:bookmarkStart w:id="6" w:name="d62860dexfilingfees.htm"/>
      <w:bookmarkStart w:id="7" w:name="ksd62860dexfilingfees"/>
      <w:bookmarkEnd w:id="6"/>
      <w:bookmarkEnd w:id="7"/>
      <w:r>
        <w:br w:type="page"/>
      </w:r>
    </w:p>
    <w:tbl>
      <w:tblPr>
        <w:tblW w:w="3556" w:type="dxa"/>
        <w:jc w:val="left"/>
        <w:tblInd w:w="0" w:type="dxa"/>
        <w:tblLayout w:type="fixed"/>
        <w:tblCellMar>
          <w:top w:w="28" w:type="dxa"/>
          <w:left w:w="28" w:type="dxa"/>
          <w:bottom w:w="28" w:type="dxa"/>
          <w:right w:w="28" w:type="dxa"/>
        </w:tblCellMar>
      </w:tblPr>
      <w:tblGrid>
        <w:gridCol w:w="3402"/>
        <w:gridCol w:w="154"/>
      </w:tblGrid>
      <w:tr>
        <w:trPr/>
        <w:tc>
          <w:tcPr>
            <w:tcW w:w="355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2"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02" w:type="dxa"/>
            <w:tcBorders/>
            <w:vAlign w:val="center"/>
          </w:tcPr>
          <w:p>
            <w:pPr>
              <w:pStyle w:val="TableContents"/>
              <w:bidi w:val="0"/>
              <w:spacing w:before="0" w:after="283"/>
              <w:jc w:val="left"/>
              <w:rPr>
                <w:b/>
              </w:rPr>
            </w:pPr>
            <w:r>
              <w:rPr>
                <w:b/>
              </w:rPr>
              <w:t xml:space="preserve">Gentherm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no par value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20,846,994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$ 486,504,949.00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$ 67,186.33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8" w:name="MaxAggtOfferingPrice"/>
            <w:bookmarkEnd w:id="8"/>
            <w:r>
              <w:rPr/>
              <w:t xml:space="preserve">$ 486,504,949.00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9" w:name="TotalFeeAmt"/>
            <w:bookmarkEnd w:id="9"/>
            <w:r>
              <w:rPr/>
              <w:t xml:space="preserve">$ 67,186.33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0" w:name="TotalPreviouslyPaidAmt"/>
            <w:bookmarkEnd w:id="10"/>
            <w:r>
              <w:rPr/>
              <w:t xml:space="preserve">$ 67,186.33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1" w:name="TotalOffsetAmt"/>
            <w:bookmarkEnd w:id="1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 w:name="NetFeeAmt"/>
            <w:bookmarkEnd w:id="1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215"/>
        <w:gridCol w:w="1606"/>
        <w:gridCol w:w="1894"/>
        <w:gridCol w:w="1642"/>
        <w:gridCol w:w="1635"/>
        <w:gridCol w:w="1857"/>
        <w:gridCol w:w="160"/>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The registration statement relates to 20,846,994 shares of common stock, no par value, of Gentherm Incorporated ("Gentherm" and such stock, "Gentherm Common Stock"), issuable to holders of common stock, par value $0.01 per share, of Platinum SpinCo Inc. ("SpinCo" and such stock, "SpinCo Common Stock") pursuant to the proposed merger (the "Merger") of Platinum Gold Merger Sub Inc., a Delaware corporation and a wholly owned subsidiary of Gentherm ("Merger Sub"), with and into SpinCo. Solely for the purpose of calculating the registration fee required by Section 6(b) of the Securities Act of 1933, as amended (the "Securities Act"), the proposed maximum aggregate offering price with respect to the shares of Gentherm Common Stock issuable to holders of SpinCo Common Stock pursuant to the Merger is estimated at $486,504,949, which has been calculated pursuant to Rule 457(f)(2) of the Securities Act based upon the book value of all shares of SpinCo Common Stock to be exchanged in the Merger as of March 31, 2026, the latest practicable date for which such information is available.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215"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606"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894"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642"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635"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57"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0"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pPr>
            <w:r>
              <w:rPr/>
              <w:t xml:space="preserve">5,000 </w:t>
            </w:r>
          </w:p>
        </w:tc>
        <w:tc>
          <w:tcPr>
            <w:tcW w:w="1606" w:type="dxa"/>
            <w:tcBorders/>
            <w:vAlign w:val="center"/>
          </w:tcPr>
          <w:p>
            <w:pPr>
              <w:pStyle w:val="TableContents"/>
              <w:bidi w:val="0"/>
              <w:spacing w:before="0" w:after="283"/>
              <w:jc w:val="left"/>
              <w:rPr/>
            </w:pPr>
            <w:r>
              <w:rPr/>
              <w:t xml:space="preserve">$ 97,300.9898 </w:t>
            </w:r>
          </w:p>
        </w:tc>
        <w:tc>
          <w:tcPr>
            <w:tcW w:w="1894" w:type="dxa"/>
            <w:tcBorders/>
            <w:vAlign w:val="center"/>
          </w:tcPr>
          <w:p>
            <w:pPr>
              <w:pStyle w:val="TableContents"/>
              <w:bidi w:val="0"/>
              <w:spacing w:before="0" w:after="283"/>
              <w:jc w:val="left"/>
              <w:rPr/>
            </w:pPr>
            <w:r>
              <w:rPr/>
              <w:t xml:space="preserve">$ 486,504,949.00 </w:t>
            </w:r>
          </w:p>
        </w:tc>
        <w:tc>
          <w:tcPr>
            <w:tcW w:w="164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pPr>
            <w:r>
              <w:rPr/>
              <w:t xml:space="preserve">$ 486,504,949.00 </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7"/>
            <w:tcBorders/>
            <w:vAlign w:val="center"/>
          </w:tcPr>
          <w:p>
            <w:pPr>
              <w:pStyle w:val="HorizontalLine"/>
              <w:pBdr>
                <w:bottom w:val="double" w:sz="2" w:space="0" w:color="808080"/>
              </w:pBdr>
              <w:bidi w:val="0"/>
              <w:spacing w:before="0" w:after="283"/>
              <w:jc w:val="left"/>
              <w:rPr/>
            </w:pPr>
            <w:r>
              <w:rPr/>
            </w:r>
          </w:p>
        </w:tc>
        <w:tc>
          <w:tcPr>
            <w:tcW w:w="16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3129/000119312526029374/d69298dex21.htm" TargetMode="External"/><Relationship Id="rId3" Type="http://schemas.openxmlformats.org/officeDocument/2006/relationships/hyperlink" Target="http://www.sec.gov/Archives/edgar/data/903129/000119312526029374/d69298dex22.htm" TargetMode="External"/><Relationship Id="rId4" Type="http://schemas.openxmlformats.org/officeDocument/2006/relationships/hyperlink" Target="http://www.sec.gov/Archives/edgar/data/903129/000119312518070672/d544984dex32.htm" TargetMode="External"/><Relationship Id="rId5" Type="http://schemas.openxmlformats.org/officeDocument/2006/relationships/hyperlink" Target="http://www.sec.gov/Archives/edgar/data/903129/000156459016020008/thrm-ex31_6.htm" TargetMode="External"/><Relationship Id="rId6" Type="http://schemas.openxmlformats.org/officeDocument/2006/relationships/hyperlink" Target="http://www.sec.gov/Archives/edgar/data/903129/000119312526335329/d52416dex51.htm" TargetMode="External"/><Relationship Id="rId7" Type="http://schemas.openxmlformats.org/officeDocument/2006/relationships/hyperlink" Target="http://www.sec.gov/Archives/edgar/data/903129/000119312526335329/d52416dex81.htm" TargetMode="External"/><Relationship Id="rId8" Type="http://schemas.openxmlformats.org/officeDocument/2006/relationships/hyperlink" Target="http://www.sec.gov/Archives/edgar/data/0000903129/000119312526293486/d52416dex101.htm" TargetMode="External"/><Relationship Id="rId9" Type="http://schemas.openxmlformats.org/officeDocument/2006/relationships/hyperlink" Target="http://www.sec.gov/Archives/edgar/data/0000903129/000119312526293486/d52416dex102.htm" TargetMode="External"/><Relationship Id="rId10" Type="http://schemas.openxmlformats.org/officeDocument/2006/relationships/hyperlink" Target="http://www.sec.gov/Archives/edgar/data/903129/000119312526335329/d52416dex103.htm" TargetMode="External"/><Relationship Id="rId11" Type="http://schemas.openxmlformats.org/officeDocument/2006/relationships/hyperlink" Target="http://www.sec.gov/Archives/edgar/data/0000903129/000119312526293486/d52416dex104.htm" TargetMode="External"/><Relationship Id="rId12" Type="http://schemas.openxmlformats.org/officeDocument/2006/relationships/hyperlink" Target="http://www.sec.gov/Archives/edgar/data/903129/000119312526335329/d52416dex105.htm" TargetMode="External"/><Relationship Id="rId13" Type="http://schemas.openxmlformats.org/officeDocument/2006/relationships/hyperlink" Target="http://www.sec.gov/Archives/edgar/data/0000903129/000119312526293486/d52416dex106.htm" TargetMode="External"/><Relationship Id="rId14" Type="http://schemas.openxmlformats.org/officeDocument/2006/relationships/hyperlink" Target="http://www.sec.gov/Archives/edgar/data/903129/000119312526335329/d52416dex211.htm" TargetMode="External"/><Relationship Id="rId15" Type="http://schemas.openxmlformats.org/officeDocument/2006/relationships/hyperlink" Target="http://www.sec.gov/Archives/edgar/data/903129/000119312526335329/d52416dex51.htm" TargetMode="External"/><Relationship Id="rId16" Type="http://schemas.openxmlformats.org/officeDocument/2006/relationships/hyperlink" Target="http://www.sec.gov/Archives/edgar/data/903129/000119312526335329/d52416dex81.htm" TargetMode="External"/><Relationship Id="rId17" Type="http://schemas.openxmlformats.org/officeDocument/2006/relationships/hyperlink" Target="http://www.sec.gov/Archives/edgar/data/903129/000119312526335329/d52416dex234.htm" TargetMode="External"/><Relationship Id="rId18" Type="http://schemas.openxmlformats.org/officeDocument/2006/relationships/hyperlink" Target="http://www.sec.gov/Archives/edgar/data/903129/000119312526335329/d52416dex235.htm" TargetMode="External"/><Relationship Id="rId19" Type="http://schemas.openxmlformats.org/officeDocument/2006/relationships/hyperlink" Target="http://www.sec.gov/Archives/edgar/data/903129/000119312526293486/d52416dex991.htm" TargetMode="External"/><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3408</Words>
  <Characters>18625</Characters>
  <CharactersWithSpaces>22072</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EX-8.2</dc:title>
</cp:coreProperties>
</file>