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hrm-20260630.htm"/>
      <w:bookmarkStart w:id="1" w:name="ksthrm2026063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 One)</w:t>
      </w:r>
    </w:p>
    <w:tbl>
      <w:tblPr>
        <w:tblW w:w="7756" w:type="dxa"/>
        <w:jc w:val="left"/>
        <w:tblInd w:w="0" w:type="dxa"/>
        <w:tblLayout w:type="fixed"/>
        <w:tblCellMar>
          <w:top w:w="28" w:type="dxa"/>
          <w:left w:w="28" w:type="dxa"/>
          <w:bottom w:w="28" w:type="dxa"/>
          <w:right w:w="28" w:type="dxa"/>
        </w:tblCellMar>
      </w:tblPr>
      <w:tblGrid>
        <w:gridCol w:w="7756"/>
      </w:tblGrid>
      <w:tr>
        <w:trPr/>
        <w:tc>
          <w:tcPr>
            <w:tcW w:w="7756" w:type="dxa"/>
            <w:tcBorders/>
            <w:vAlign w:val="center"/>
          </w:tcPr>
          <w:p>
            <w:pPr>
              <w:pStyle w:val="TableContents"/>
              <w:bidi w:val="0"/>
              <w:spacing w:before="0" w:after="283"/>
              <w:jc w:val="left"/>
              <w:rPr>
                <w:sz w:val="4"/>
                <w:szCs w:val="4"/>
              </w:rPr>
            </w:pPr>
            <w:r>
              <w:rPr>
                <w:sz w:val="4"/>
                <w:szCs w:val="4"/>
              </w:rPr>
            </w:r>
          </w:p>
        </w:tc>
      </w:tr>
      <w:tr>
        <w:trPr/>
        <w:tc>
          <w:tcPr>
            <w:tcW w:w="7756"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7846" w:type="dxa"/>
        <w:jc w:val="left"/>
        <w:tblInd w:w="0" w:type="dxa"/>
        <w:tblLayout w:type="fixed"/>
        <w:tblCellMar>
          <w:top w:w="28" w:type="dxa"/>
          <w:left w:w="28" w:type="dxa"/>
          <w:bottom w:w="28" w:type="dxa"/>
          <w:right w:w="28" w:type="dxa"/>
        </w:tblCellMar>
      </w:tblPr>
      <w:tblGrid>
        <w:gridCol w:w="7846"/>
      </w:tblGrid>
      <w:tr>
        <w:trPr/>
        <w:tc>
          <w:tcPr>
            <w:tcW w:w="7846" w:type="dxa"/>
            <w:tcBorders/>
            <w:vAlign w:val="center"/>
          </w:tcPr>
          <w:p>
            <w:pPr>
              <w:pStyle w:val="TableContents"/>
              <w:bidi w:val="0"/>
              <w:spacing w:before="0" w:after="283"/>
              <w:jc w:val="left"/>
              <w:rPr>
                <w:sz w:val="4"/>
                <w:szCs w:val="4"/>
              </w:rPr>
            </w:pPr>
            <w:r>
              <w:rPr>
                <w:sz w:val="4"/>
                <w:szCs w:val="4"/>
              </w:rPr>
            </w:r>
          </w:p>
        </w:tc>
      </w:tr>
      <w:tr>
        <w:trPr/>
        <w:tc>
          <w:tcPr>
            <w:tcW w:w="7846" w:type="dxa"/>
            <w:tcBorders/>
            <w:tcMar>
              <w:top w:w="0" w:type="dxa"/>
              <w:left w:w="0" w:type="dxa"/>
              <w:bottom w:w="0" w:type="dxa"/>
              <w:right w:w="0" w:type="dxa"/>
            </w:tcMar>
            <w:vAlign w:val="center"/>
          </w:tcPr>
          <w:p>
            <w:pPr>
              <w:pStyle w:val="TableContents"/>
              <w:bidi w:val="0"/>
              <w:spacing w:before="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0-21810</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48"/>
        </w:rPr>
        <w:t>GENTHERM INCORPORATED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Michigan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95-4318554</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28875 Cabot Drive, Novi, MI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48377</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(248) 504-0500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2476"/>
        <w:gridCol w:w="1501"/>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r>
              <w:rPr>
                <w:rFonts w:ascii="Times New Roman" w:hAnsi="Times New Roman"/>
                <w:b/>
                <w:color w:val="000000"/>
                <w:sz w:val="20"/>
              </w:rPr>
              <w:t>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THRM</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17, 2026, there were 30,705,208 issued and outstanding shares of Common Stock of the registrant. </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gentherm"/>
      <w:bookmarkEnd w:id="2"/>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 w:name="table_contents"/>
      <w:bookmarkEnd w:id="3"/>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186" w:type="dxa"/>
        <w:jc w:val="left"/>
        <w:tblInd w:w="0" w:type="dxa"/>
        <w:tblLayout w:type="fixed"/>
        <w:tblCellMar>
          <w:top w:w="28" w:type="dxa"/>
          <w:left w:w="28" w:type="dxa"/>
          <w:bottom w:w="28" w:type="dxa"/>
          <w:right w:w="28" w:type="dxa"/>
        </w:tblCellMar>
      </w:tblPr>
      <w:tblGrid>
        <w:gridCol w:w="401"/>
        <w:gridCol w:w="1036"/>
        <w:gridCol w:w="636"/>
        <w:gridCol w:w="7366"/>
        <w:gridCol w:w="146"/>
        <w:gridCol w:w="601"/>
      </w:tblGrid>
      <w:tr>
        <w:trPr/>
        <w:tc>
          <w:tcPr>
            <w:tcW w:w="4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0186" w:type="dxa"/>
            <w:gridSpan w:val="6"/>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439" w:type="dxa"/>
            <w:gridSpan w:val="4"/>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39" w:type="dxa"/>
            <w:gridSpan w:val="4"/>
            <w:tcBorders/>
            <w:tcMar>
              <w:top w:w="0" w:type="dxa"/>
              <w:left w:w="0" w:type="dxa"/>
              <w:bottom w:w="0" w:type="dxa"/>
              <w:right w:w="0" w:type="dxa"/>
            </w:tcMar>
            <w:vAlign w:val="center"/>
          </w:tcPr>
          <w:p>
            <w:pPr>
              <w:pStyle w:val="TableContents"/>
              <w:bidi w:val="0"/>
              <w:spacing w:before="0" w:after="20"/>
              <w:jc w:val="left"/>
              <w:rPr/>
            </w:pPr>
            <w:hyperlink w:anchor="part_i_financial_information">
              <w:r>
                <w:rPr>
                  <w:rStyle w:val="InternetLink"/>
                  <w:rFonts w:ascii="Times New Roman" w:hAnsi="Times New Roman"/>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Item 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balance_sheets">
              <w:r>
                <w:rPr>
                  <w:rStyle w:val="InternetLink"/>
                  <w:rFonts w:ascii="Times New Roman" w:hAnsi="Times New Roman"/>
                  <w:color w:val="0000FF"/>
                  <w:sz w:val="20"/>
                  <w:u w:val="single"/>
                </w:rPr>
                <w:t>Consolidated Condensed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income">
              <w:r>
                <w:rPr>
                  <w:rStyle w:val="InternetLink"/>
                  <w:rFonts w:ascii="Times New Roman" w:hAnsi="Times New Roman"/>
                  <w:color w:val="0000FF"/>
                  <w:sz w:val="20"/>
                  <w:u w:val="single"/>
                </w:rPr>
                <w:t>Consolidated Condensed Statements of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_of_comp">
              <w:r>
                <w:rPr>
                  <w:rStyle w:val="InternetLink"/>
                  <w:rFonts w:ascii="Times New Roman" w:hAnsi="Times New Roman"/>
                  <w:color w:val="0000FF"/>
                  <w:sz w:val="20"/>
                  <w:u w:val="single"/>
                </w:rPr>
                <w:t>Consolidated Condensed Statements of Comprehensive Income</w:t>
              </w:r>
            </w:hyperlink>
            <w:hyperlink w:anchor="consolidated_condensed_state_of_comp">
              <w:r>
                <w:rPr>
                  <w:rStyle w:val="InternetLink"/>
                  <w:rFonts w:ascii="Times New Roman" w:hAnsi="Times New Roman"/>
                  <w:color w:val="0000FF"/>
                  <w:sz w:val="20"/>
                </w:rPr>
                <w:t xml:space="preserve"> </w:t>
              </w:r>
            </w:hyperlink>
            <w:r>
              <w:rPr>
                <w:rFonts w:ascii="Times New Roman" w:hAnsi="Times New Roman"/>
                <w:color w:val="0000FF"/>
                <w:sz w:val="20"/>
                <w:u w:val="single"/>
              </w:rPr>
              <w:t>(Loss)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cash_f">
              <w:r>
                <w:rPr>
                  <w:rStyle w:val="InternetLink"/>
                  <w:rFonts w:ascii="Times New Roman" w:hAnsi="Times New Roman"/>
                  <w:color w:val="0000FF"/>
                  <w:sz w:val="20"/>
                  <w:u w:val="single"/>
                </w:rPr>
                <w:t>Consolidated Condensed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consolidated_condensed_statements_cha_eq">
              <w:r>
                <w:rPr>
                  <w:rStyle w:val="InternetLink"/>
                  <w:rFonts w:ascii="Times New Roman" w:hAnsi="Times New Roman"/>
                  <w:color w:val="0000FF"/>
                  <w:sz w:val="20"/>
                  <w:u w:val="single"/>
                </w:rPr>
                <w:t>Consolidated Condensed Statements of Changes in Shareholders’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246"/>
              <w:jc w:val="left"/>
              <w:rPr/>
            </w:pPr>
            <w:hyperlink w:anchor="notes_to_unaudited_consolidated">
              <w:r>
                <w:rPr>
                  <w:rStyle w:val="InternetLink"/>
                  <w:rFonts w:ascii="Times New Roman" w:hAnsi="Times New Roman"/>
                  <w:color w:val="0000FF"/>
                  <w:sz w:val="20"/>
                  <w:u w:val="single"/>
                </w:rPr>
                <w:t>Notes to Unaudited Consolidated Condensed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_overview">
              <w:r>
                <w:rPr>
                  <w:rStyle w:val="InternetLink"/>
                  <w:rFonts w:ascii="Times New Roman" w:hAnsi="Times New Roman"/>
                  <w:color w:val="0000FF"/>
                  <w:sz w:val="20"/>
                  <w:u w:val="single"/>
                </w:rPr>
                <w:t>Note 1 -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2">
              <w:r>
                <w:rPr>
                  <w:rStyle w:val="InternetLink"/>
                  <w:rFonts w:ascii="Times New Roman" w:hAnsi="Times New Roman"/>
                  <w:color w:val="0000FF"/>
                  <w:sz w:val="20"/>
                  <w:u w:val="single"/>
                </w:rPr>
                <w:t>Note 2 - Recently Issued Accounting Pronouncements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3">
              <w:r>
                <w:rPr>
                  <w:rStyle w:val="InternetLink"/>
                  <w:rFonts w:ascii="Times New Roman" w:hAnsi="Times New Roman"/>
                  <w:color w:val="0000FF"/>
                  <w:sz w:val="20"/>
                  <w:u w:val="single"/>
                </w:rPr>
                <w:t>Note 3 - Restructuring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4">
              <w:r>
                <w:rPr>
                  <w:rStyle w:val="InternetLink"/>
                  <w:rFonts w:ascii="Times New Roman" w:hAnsi="Times New Roman"/>
                  <w:color w:val="0000FF"/>
                  <w:sz w:val="20"/>
                  <w:u w:val="single"/>
                </w:rPr>
                <w:t>Note 4 - Details of Certain Balance Sheet Components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5">
              <w:r>
                <w:rPr>
                  <w:rStyle w:val="InternetLink"/>
                  <w:rFonts w:ascii="Times New Roman" w:hAnsi="Times New Roman"/>
                  <w:color w:val="0000FF"/>
                  <w:sz w:val="20"/>
                  <w:u w:val="single"/>
                </w:rPr>
                <w:t>Note 5 - Goodwill and Other Intangibles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6">
              <w:r>
                <w:rPr>
                  <w:rStyle w:val="InternetLink"/>
                  <w:rFonts w:ascii="Times New Roman" w:hAnsi="Times New Roman"/>
                  <w:color w:val="0000FF"/>
                  <w:sz w:val="20"/>
                  <w:u w:val="single"/>
                </w:rPr>
                <w:t>Note 6 - Debt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7">
              <w:r>
                <w:rPr>
                  <w:rStyle w:val="InternetLink"/>
                  <w:rFonts w:ascii="Times New Roman" w:hAnsi="Times New Roman"/>
                  <w:color w:val="0000FF"/>
                  <w:sz w:val="20"/>
                  <w:u w:val="single"/>
                </w:rPr>
                <w:t>Note 7 - Commitments and Contingencies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8">
              <w:r>
                <w:rPr>
                  <w:rStyle w:val="InternetLink"/>
                  <w:rFonts w:ascii="Times New Roman" w:hAnsi="Times New Roman"/>
                  <w:color w:val="0000FF"/>
                  <w:sz w:val="20"/>
                  <w:u w:val="single"/>
                </w:rPr>
                <w:t>Note 8 - Supplier Finance Program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9">
              <w:r>
                <w:rPr>
                  <w:rStyle w:val="InternetLink"/>
                  <w:rFonts w:ascii="Times New Roman" w:hAnsi="Times New Roman"/>
                  <w:color w:val="0000FF"/>
                  <w:sz w:val="20"/>
                  <w:u w:val="single"/>
                </w:rPr>
                <w:t>Note 9 - Earnings Per Share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0">
              <w:r>
                <w:rPr>
                  <w:rStyle w:val="InternetLink"/>
                  <w:rFonts w:ascii="Times New Roman" w:hAnsi="Times New Roman"/>
                  <w:color w:val="0000FF"/>
                  <w:sz w:val="20"/>
                  <w:u w:val="single"/>
                </w:rPr>
                <w:t>Note 10 - Financial Instruments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1">
              <w:r>
                <w:rPr>
                  <w:rStyle w:val="InternetLink"/>
                  <w:rFonts w:ascii="Times New Roman" w:hAnsi="Times New Roman"/>
                  <w:color w:val="0000FF"/>
                  <w:sz w:val="20"/>
                  <w:u w:val="single"/>
                </w:rPr>
                <w:t>Note 11 - Fair Value Measurements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2">
              <w:r>
                <w:rPr>
                  <w:rStyle w:val="InternetLink"/>
                  <w:rFonts w:ascii="Times New Roman" w:hAnsi="Times New Roman"/>
                  <w:color w:val="0000FF"/>
                  <w:sz w:val="20"/>
                  <w:u w:val="single"/>
                </w:rPr>
                <w:t>Note 12 -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3">
              <w:r>
                <w:rPr>
                  <w:rStyle w:val="InternetLink"/>
                  <w:rFonts w:ascii="Times New Roman" w:hAnsi="Times New Roman"/>
                  <w:color w:val="0000FF"/>
                  <w:sz w:val="20"/>
                  <w:u w:val="single"/>
                </w:rPr>
                <w:t>Note 13 - Reclassifications Out of Accumulated Other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4">
              <w:r>
                <w:rPr>
                  <w:rStyle w:val="InternetLink"/>
                  <w:rFonts w:ascii="Times New Roman" w:hAnsi="Times New Roman"/>
                  <w:color w:val="0000FF"/>
                  <w:sz w:val="20"/>
                  <w:u w:val="single"/>
                </w:rPr>
                <w:t>Note 14 - Income Taxes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ind w:left="0" w:right="0" w:firstLine="490"/>
              <w:jc w:val="left"/>
              <w:rPr/>
            </w:pPr>
            <w:hyperlink w:anchor="note_15">
              <w:r>
                <w:rPr>
                  <w:rStyle w:val="InternetLink"/>
                  <w:rFonts w:ascii="Times New Roman" w:hAnsi="Times New Roman"/>
                  <w:color w:val="0000FF"/>
                  <w:sz w:val="20"/>
                  <w:u w:val="single"/>
                </w:rPr>
                <w:t>Note 15 - Segment Reporting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9439" w:type="dxa"/>
            <w:gridSpan w:val="4"/>
            <w:tcBorders/>
            <w:tcMar>
              <w:top w:w="0" w:type="dxa"/>
              <w:left w:w="0" w:type="dxa"/>
              <w:bottom w:w="0" w:type="dxa"/>
              <w:right w:w="0" w:type="dxa"/>
            </w:tcMar>
            <w:vAlign w:val="center"/>
          </w:tcPr>
          <w:p>
            <w:pPr>
              <w:pStyle w:val="TableContents"/>
              <w:bidi w:val="0"/>
              <w:spacing w:before="0" w:after="20"/>
              <w:jc w:val="left"/>
              <w:rPr/>
            </w:pPr>
            <w:hyperlink w:anchor="part_ii_other_information">
              <w:r>
                <w:rPr>
                  <w:rStyle w:val="InternetLink"/>
                  <w:rFonts w:ascii="Times New Roman" w:hAnsi="Times New Roman"/>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1A.</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2">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036" w:type="dxa"/>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Item 6.</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439" w:type="dxa"/>
            <w:gridSpan w:val="4"/>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 w:name="item_1_financial_statements"/>
      <w:bookmarkEnd w:id="5"/>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consolidated_condensed_balance_sheets"/>
      <w:bookmarkEnd w:id="6"/>
      <w:r>
        <w:rPr>
          <w:rFonts w:ascii="Times New Roman" w:hAnsi="Times New Roman"/>
          <w:b/>
          <w:color w:val="000000"/>
          <w:sz w:val="20"/>
        </w:rPr>
        <w:t>CONSOLIDATED 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89"/>
        <w:gridCol w:w="146"/>
        <w:gridCol w:w="211"/>
        <w:gridCol w:w="935"/>
        <w:gridCol w:w="166"/>
        <w:gridCol w:w="146"/>
        <w:gridCol w:w="243"/>
        <w:gridCol w:w="1075"/>
        <w:gridCol w:w="594"/>
      </w:tblGrid>
      <w:tr>
        <w:trPr/>
        <w:tc>
          <w:tcPr>
            <w:tcW w:w="6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281,083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252,702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776,950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1,396,429</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260,487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404,310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676,106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 par value; 55,000,000 shares authorized 30,705,208 and 30,526,231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714,086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720,323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1,396,429</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GENTHERM INCORPORATED</w:t>
      </w:r>
    </w:p>
    <w:p>
      <w:pPr>
        <w:pStyle w:val="TextBody"/>
        <w:bidi w:val="0"/>
        <w:spacing w:before="120" w:after="283"/>
        <w:jc w:val="center"/>
        <w:rPr>
          <w:rFonts w:ascii="Times New Roman" w:hAnsi="Times New Roman"/>
          <w:sz w:val="20"/>
        </w:rPr>
      </w:pPr>
      <w:bookmarkStart w:id="7" w:name="consolidated_condensed_statements_income"/>
      <w:bookmarkEnd w:id="7"/>
      <w:r>
        <w:rPr>
          <w:rFonts w:ascii="Times New Roman" w:hAnsi="Times New Roman"/>
          <w:b/>
          <w:color w:val="000000"/>
          <w:sz w:val="20"/>
        </w:rPr>
        <w:t>CONSOLIDATED CONDENSED</w:t>
      </w:r>
      <w:r>
        <w:rPr>
          <w:rFonts w:ascii="Times New Roman" w:hAnsi="Times New Roman"/>
          <w:color w:val="000000"/>
          <w:sz w:val="20"/>
        </w:rPr>
        <w:t xml:space="preserve"> </w:t>
      </w:r>
      <w:r>
        <w:rPr>
          <w:rFonts w:ascii="Times New Roman" w:hAnsi="Times New Roman"/>
          <w:b/>
          <w:color w:val="000000"/>
          <w:sz w:val="20"/>
        </w:rPr>
        <w:t>STATEMENTS OF INCOME</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724" w:type="dxa"/>
        <w:jc w:val="left"/>
        <w:tblInd w:w="0" w:type="dxa"/>
        <w:tblLayout w:type="fixed"/>
        <w:tblCellMar>
          <w:top w:w="28" w:type="dxa"/>
          <w:left w:w="28" w:type="dxa"/>
          <w:bottom w:w="28" w:type="dxa"/>
          <w:right w:w="28" w:type="dxa"/>
        </w:tblCellMar>
      </w:tblPr>
      <w:tblGrid>
        <w:gridCol w:w="3936"/>
        <w:gridCol w:w="146"/>
        <w:gridCol w:w="224"/>
        <w:gridCol w:w="832"/>
        <w:gridCol w:w="176"/>
        <w:gridCol w:w="155"/>
        <w:gridCol w:w="224"/>
        <w:gridCol w:w="832"/>
        <w:gridCol w:w="166"/>
        <w:gridCol w:w="146"/>
        <w:gridCol w:w="211"/>
        <w:gridCol w:w="781"/>
        <w:gridCol w:w="166"/>
        <w:gridCol w:w="146"/>
        <w:gridCol w:w="211"/>
        <w:gridCol w:w="781"/>
        <w:gridCol w:w="59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consolidated_condensed_state_of_comp"/>
      <w:bookmarkEnd w:id="8"/>
      <w:r>
        <w:rPr>
          <w:rFonts w:ascii="Times New Roman" w:hAnsi="Times New Roman"/>
          <w:b/>
          <w:color w:val="000000"/>
          <w:sz w:val="20"/>
        </w:rPr>
        <w:t>CONSOLIDATED CONDENSED STATEMENTS</w:t>
      </w:r>
      <w:r>
        <w:rPr>
          <w:rFonts w:ascii="Times New Roman" w:hAnsi="Times New Roman"/>
          <w:color w:val="000000"/>
          <w:sz w:val="20"/>
        </w:rPr>
        <w:t xml:space="preserve"> </w:t>
      </w:r>
      <w:r>
        <w:rPr>
          <w:rFonts w:ascii="Times New Roman" w:hAnsi="Times New Roman"/>
          <w:b/>
          <w:color w:val="000000"/>
          <w:sz w:val="20"/>
        </w:rPr>
        <w:t>OF COMPREHENSIVE INCOME (LOSS)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16"/>
        <w:gridCol w:w="146"/>
        <w:gridCol w:w="242"/>
        <w:gridCol w:w="726"/>
        <w:gridCol w:w="190"/>
        <w:gridCol w:w="167"/>
        <w:gridCol w:w="242"/>
        <w:gridCol w:w="778"/>
        <w:gridCol w:w="146"/>
        <w:gridCol w:w="146"/>
        <w:gridCol w:w="217"/>
        <w:gridCol w:w="758"/>
        <w:gridCol w:w="170"/>
        <w:gridCol w:w="150"/>
        <w:gridCol w:w="217"/>
        <w:gridCol w:w="697"/>
        <w:gridCol w:w="597"/>
      </w:tblGrid>
      <w:tr>
        <w:trPr/>
        <w:tc>
          <w:tcPr>
            <w:tcW w:w="4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benefit obligations,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cash flow hedge derivatives,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87,198</w:t>
            </w:r>
          </w:p>
        </w:tc>
        <w:tc>
          <w:tcPr>
            <w:tcW w:w="5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87,547</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9" w:name="consolidated_condensed_statements_cash_f"/>
      <w:bookmarkEnd w:id="9"/>
      <w:r>
        <w:rPr>
          <w:rFonts w:ascii="Times New Roman" w:hAnsi="Times New Roman"/>
          <w:b/>
          <w:color w:val="000000"/>
          <w:sz w:val="20"/>
        </w:rPr>
        <w:t>CONSOLIDATED 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174" w:type="dxa"/>
        <w:jc w:val="left"/>
        <w:tblInd w:w="0" w:type="dxa"/>
        <w:tblLayout w:type="fixed"/>
        <w:tblCellMar>
          <w:top w:w="28" w:type="dxa"/>
          <w:left w:w="28" w:type="dxa"/>
          <w:bottom w:w="28" w:type="dxa"/>
          <w:right w:w="28" w:type="dxa"/>
        </w:tblCellMar>
      </w:tblPr>
      <w:tblGrid>
        <w:gridCol w:w="6921"/>
        <w:gridCol w:w="146"/>
        <w:gridCol w:w="211"/>
        <w:gridCol w:w="781"/>
        <w:gridCol w:w="166"/>
        <w:gridCol w:w="146"/>
        <w:gridCol w:w="211"/>
        <w:gridCol w:w="781"/>
        <w:gridCol w:w="811"/>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Provisions for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items, including unrealized foreign currency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deferred purchase price of factored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technology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financing new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withheld and paid on employees' 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the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Period-end balance of accounts payable for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GENTHERM INCORPORATED</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0" w:name="consolidated_condensed_statements_cha_eq"/>
      <w:bookmarkEnd w:id="10"/>
      <w:r>
        <w:rPr>
          <w:rFonts w:ascii="Times New Roman" w:hAnsi="Times New Roman"/>
          <w:b/>
          <w:color w:val="000000"/>
          <w:sz w:val="20"/>
        </w:rPr>
        <w:t>CONSOLIDATED CONDENSED STATEMENTS OF CHANGES IN SHAREHOLDERS’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3"/>
        <w:gridCol w:w="146"/>
        <w:gridCol w:w="146"/>
        <w:gridCol w:w="676"/>
        <w:gridCol w:w="166"/>
        <w:gridCol w:w="146"/>
        <w:gridCol w:w="211"/>
        <w:gridCol w:w="676"/>
        <w:gridCol w:w="166"/>
        <w:gridCol w:w="146"/>
        <w:gridCol w:w="211"/>
        <w:gridCol w:w="631"/>
        <w:gridCol w:w="166"/>
        <w:gridCol w:w="146"/>
        <w:gridCol w:w="289"/>
        <w:gridCol w:w="1017"/>
        <w:gridCol w:w="166"/>
        <w:gridCol w:w="146"/>
        <w:gridCol w:w="239"/>
        <w:gridCol w:w="887"/>
        <w:gridCol w:w="166"/>
        <w:gridCol w:w="146"/>
        <w:gridCol w:w="211"/>
        <w:gridCol w:w="781"/>
        <w:gridCol w:w="411"/>
      </w:tblGrid>
      <w:tr>
        <w:trPr/>
        <w:tc>
          <w:tcPr>
            <w:tcW w:w="2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716,470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723,118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695,673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646,528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consolidated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notes_to_unaudited_consolidated"/>
      <w:bookmarkEnd w:id="11"/>
      <w:r>
        <w:rPr>
          <w:rFonts w:ascii="Times New Roman" w:hAnsi="Times New Roman"/>
          <w:b/>
          <w:color w:val="000000"/>
          <w:sz w:val="20"/>
        </w:rPr>
        <w:t>Note 1 –</w:t>
      </w:r>
      <w:bookmarkStart w:id="12" w:name="note_1_overview"/>
      <w:bookmarkEnd w:id="12"/>
      <w:r>
        <w:rPr>
          <w:rFonts w:ascii="Times New Roman" w:hAnsi="Times New Roman"/>
          <w:color w:val="000000"/>
          <w:sz w:val="20"/>
        </w:rPr>
        <w:t xml:space="preserve"> </w:t>
      </w: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Gentherm Incorporated, a Michigan corporation, and its consolidated subsidiaries (“Gentherm”, “we”, “us”, “our” or the “Company”) is a global market leader of innovative thermal management and pneumatic comfort technologies. Our automotive products include Climate Control Seats (CCS</w:t>
      </w:r>
      <w:r>
        <w:rPr>
          <w:rFonts w:ascii="Times New Roman" w:hAnsi="Times New Roman"/>
          <w:color w:val="000000"/>
          <w:sz w:val="13"/>
        </w:rPr>
        <w:t>®</w:t>
      </w:r>
      <w:r>
        <w:rPr>
          <w:rFonts w:ascii="Times New Roman" w:hAnsi="Times New Roman"/>
          <w:color w:val="000000"/>
          <w:sz w:val="20"/>
        </w:rPr>
        <w:t xml:space="preserve">),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IME Acquisition</w:t>
      </w:r>
    </w:p>
    <w:p>
      <w:pPr>
        <w:pStyle w:val="TextBody"/>
        <w:bidi w:val="0"/>
        <w:spacing w:before="120" w:after="283"/>
        <w:jc w:val="left"/>
        <w:rPr>
          <w:rFonts w:ascii="Times New Roman" w:hAnsi="Times New Roman"/>
          <w:sz w:val="20"/>
        </w:rPr>
      </w:pPr>
      <w:r>
        <w:rPr>
          <w:rFonts w:ascii="Times New Roman" w:hAnsi="Times New Roman"/>
          <w:color w:val="000000"/>
          <w:sz w:val="20"/>
        </w:rPr>
        <w:t>On July 1, 2026, the Company completed its acquisition of Innovative Medical Equipment, LLC (“IME”). IME, headquartered in Beachwood, Ohio, is a provider of the ThermaZone</w:t>
      </w:r>
      <w:r>
        <w:rPr>
          <w:rFonts w:ascii="Aptos;sans-serif" w:hAnsi="Aptos;sans-serif"/>
          <w:color w:val="000000"/>
          <w:sz w:val="22"/>
        </w:rPr>
        <w:t>®</w:t>
      </w:r>
      <w:r>
        <w:rPr>
          <w:rFonts w:ascii="Times New Roman" w:hAnsi="Times New Roman"/>
          <w:color w:val="000000"/>
          <w:sz w:val="20"/>
        </w:rPr>
        <w:t xml:space="preserve"> thermal therapy device. ThermaZone is a non-opioid thermal therapy solution designed to support pain management and recovery through controlled hot-and-cold therapy. The Company acquired all of the membership interests in IME for $34,000, net of cash and debt, and subject to customary adjustments related to IME’s net working capital as of the closing date. The purchase price may be increased after closing by up to $1,000 upon the achievement of a specified performance milestone. The transaction was funded through a combination of the Company’s existing cash balances and borrowings under the Revolving Credit Facility, as defined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29, 2026, the Company, entered into definitive agreements to combine the Performance Technologies business (“Performance Technologies”) of Modine Manufacturing Co., a Wisconsin corporation (“Modine”), with the Company (the “Modine Transaction”). The Modine Transaction is structured as a Reverse Morris Trust transaction, where a wholly owned subsidiary of Modine (“SpinCo”), owning Performance Technologies, will be spun off to Modine shareholders (the “Distribution”) and simultaneously merged with a wholly owned subsidiary of the Company (the “Merger”). The transaction was valued at approximately $1,000,000 as of the date of signing, based on specified assumptions. Shareholders of the Company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and as a condition of, the Distribution, Modine will receive a cash distribution from SpinCo of $210,000, subject to adjustment for cash, working capital and indebtedness of SpinCo, and subject to decrease if additional shares of Common Stock will be issued to Modine shareholders to support the intended tax-free treatment of the Distribution to Modine shareholders for U.S. federal income tax purposes (the “SpinCo Cash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expected to close by early fourth quarter of 2026, subject to various closing conditions, including specified approvals by the Company’s shareholders, a customary IRS tax ruling and the satisfaction of other customary closing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contains specified termination rights for the Company and Modine, including a right allowing the Company or Modine to terminate the Merger Agreement if the Merger has not been consummated on or prior to March 31, 2027 (which date may be extended to June 30, 2027 in the event that required regulatory approvals have not been received). Additionally, the Merger Agreement requires the Company to pay Modine a termination fee of $45,000 if the Merger Agreement is terminated under certain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Merger Agreement, the Company, SpinCo and a financial institution executed a 364-day bridge loan facility commitment letter, pursuant to which such financial institution committed (i) to provide bridge financing of $290,000 to fund dividends, fees and expenses related to the transactions contemplated by the Merger Agreement (“Bridge Facility”) and (ii) to provide the Company a backstop of the Company’s credit agreement (“Backstop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the Company amended its credit agreement to permit the Modine Transaction, which terminated the Backstop Commitment. On June 29, 2026, SpinCo replaced the Bridge Facility with permanent financing by entering into a credit agreement, providing for a delayed-draw term loan facility with aggregate commitments of up to $250,000 (the "Senior Credit Facility"). Borrowings under the Senior Credit Facility are expected to be funded on the closing date of the Modine Transaction and used to fund the SpinCo Cash Distribution and to pay certain other amounts required under the Merger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incurred $2,145 and $5,135, respectively, of fees associated with the Bridge Facility, Backstop Commitment and Senior Credit Facility. Such fees are recorded in Selling, general and administrative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 and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consolidated condensed financial statements included herein have been prepared in accordance with accounting principles generally accepted in the United States of America (“U.S. GAAP”) for interim financial information and pursuant to the rules and regulations of the U.S. Securities and Exchange Commission. Certain information and footnote disclosures normally included in financial statements prepared in accordance with U.S. GAAP have been condensed or omitted pursuant to those rules and regulations. The information furnished in the consolidated condensed financial statements include all adjustments (consisting of only normal, recurring adjustments) considered necessary to present fairly the results of operations, financial position and cash flows of the Company. These financial statements should be read in conjunction with the Company’s Annual Report on Form 10-K for the year ended December 31, 2025. The operating results for interim periods are not necessarily indicative of results that may be expected for other interim periods or for the full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preparing these financial statements, management was required to make estimates and assumptions that affect the reported amounts of assets, liabilities, revenues and expenses. These estimates and assumptions are based on our historical experience, the terms of existing contracts, our evaluation of trends in the industry, information provided by our customers and suppliers and information available from other third-party sources, as appropriate. These estimates and assumptions are subject to an inherent degree of uncertainty and may change as new events occur and additional information is obtained. As a result, actual results may differ significantly from our estimates, and any such differences may be material to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in these notes to the consolidated condensed financial statements are presented in thousands, except share and per share data.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condensed financial statements include the accounts of the Company, its wholly owned subsidiaries and those entities in which it has a controlling financial interest. The Company evaluates its relationship with other entities for consolidation and to identify whether such entities are variable interest entities and to assess whether the Company is the primary beneficiary of such entities. Investments in affiliates in which Gentherm does not have control but does have the ability to exercise significant influence over operating and financial policies are accounted for under the equity method. When Gentherm does not have the ability to exercise significant influence (generally when ownership interest is less than 20%), investments in affiliates are measured at cost, less impairments, adjusted for observable price changes in orderly transactions for identical or similar investments of the same issuer.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Recognition - payments to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provides cash incentives to customers in exchange for new business awards. The Company evaluates the underlying economics of each amount of consideration payable to a customer to determine the proper accounting by understanding the reasons for the payment, the rights and obligations resulting from the payment, the nature of the promises in the contract, and other relevant facts and circumstances. When the Company concludes that the payment is incurred only if the new business is obtained and the Company expects to recover the amounts from the customer over the term of the new business arrangement, the Company recognizes these payments as an asset. The Company amortizes the asset as a reduction of revenue as products related to the payment are transferred to the customer, based on the total amount of products expected to be sold over the term of the arrangement (generally 5 to 10 years following start of production). The Company evaluates the amounts capitalized each reporting period for recoverability and recognizes a reduction of revenue for any amounts that are no longer expected to be recovered over the term of the business arrangement. Payments to customers that are not capitalized are recognized as a reduction to revenue at the time of the commitment to make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total capitalized payments to customers were $22,142 and $18,168,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$541 and $975 as reductions of revenue due to amortization and write-off of previously capitalized payments. During the three and six months ended June 30, 2025, the Company recognized $208 and $1,044 as reductions of revenue due to amortization and write-off of previously capitalized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no other material contract assets or contract liabilities as of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Loss on Sale of Land and Building,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completed the sale of our former headquarters building in Northville, Michigan for cash proceeds of $3,740. As a result, the Company recognized a loss on sale of $2,311 during the six months ended June 30, 2025.</w:t>
      </w:r>
    </w:p>
    <w:p>
      <w:pPr>
        <w:pStyle w:val="TextBody"/>
        <w:bidi w:val="0"/>
        <w:spacing w:before="240" w:after="283"/>
        <w:jc w:val="left"/>
        <w:rPr>
          <w:rFonts w:ascii="Times New Roman" w:hAnsi="Times New Roman"/>
          <w:b/>
          <w:color w:val="000000"/>
          <w:sz w:val="20"/>
        </w:rPr>
      </w:pPr>
      <w:bookmarkStart w:id="13" w:name="note_2"/>
      <w:bookmarkEnd w:id="13"/>
      <w:r>
        <w:rPr>
          <w:rFonts w:ascii="Times New Roman" w:hAnsi="Times New Roman"/>
          <w:b/>
          <w:color w:val="000000"/>
          <w:sz w:val="20"/>
        </w:rPr>
        <w:t>Note 2 – Recently Issued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ASU 2024-03 enhances disclosures around certain costs and expenses. Retrospective adoption is required for all periods presented in the financial statements and early adoption is permitted. This update is effective for annual reporting periods beginning after December 15, 2026, and interim periods beginning after December 15, 2027. We are currently in the process of determining the impact the implementation of ASU 2024-03 will have on the Company’s financial statement disclosures.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Internal-Use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ASU 2025-06 modernizes the accounting for internal-use software costs. Retrospective, prospective, or a modified transition approach for adoption are all permitted, as well as early adoption at the beginning of an annual reporting period. This update is effective for annual reporting periods beginning after December 15, 2027, and interim reporting periods within those annual reporting periods. We are currently in the process of determining the impact the implementation of ASU 2025-06 will have on the Company’s financial statement disclosures.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Environmental Credits and Environmental Credit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2026, the FASB issued ASU 2026-02, “Environmental Credits and Environmental Credit Obligations (Topic 818)”. ASU 2026-02 provides recognition, measurement, presentation, and disclosure requirements for all entities that generate, purchase, or receive environmental credits or have a regulatory compliance obligation that may be settled with environmental credits. This update is effective for annual reporting periods beginning after December 15, 2027, and interim reporting periods within those annual reporting periods. We are currently in the process of determining the impact the implementation of ASU 2026-02 will have on the Company’s financial statement disclosures.</w:t>
      </w:r>
    </w:p>
    <w:p>
      <w:pPr>
        <w:pStyle w:val="TextBody"/>
        <w:bidi w:val="0"/>
        <w:spacing w:before="240" w:after="283"/>
        <w:jc w:val="left"/>
        <w:rPr>
          <w:rFonts w:ascii="Times New Roman" w:hAnsi="Times New Roman"/>
          <w:b/>
          <w:color w:val="000000"/>
          <w:sz w:val="20"/>
        </w:rPr>
      </w:pPr>
      <w:bookmarkStart w:id="14" w:name="note_3"/>
      <w:bookmarkEnd w:id="14"/>
      <w:r>
        <w:rPr>
          <w:rFonts w:ascii="Times New Roman" w:hAnsi="Times New Roman"/>
          <w:b/>
          <w:color w:val="000000"/>
          <w:sz w:val="20"/>
        </w:rPr>
        <w:t>Note 3 –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continuously monitors market developments, industry trends and changing customer needs and in response, has taken and may continue to undertake restructuring actions, as necessary, to execute management’s strategy, streamline operations and optimize the Company’s cost structure. Restructuring actions may include the realignment of existing manufacturing footprint, facility closures or similar actions, either in the normal course of business or pursuant to significant restructuring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may result in employees receiving voluntary or involuntary employee termination benefits, which are mainly statutory requirements or other contractual agreements. Voluntary termination benefits are accrued when an employee accepts the related offer. Involuntary termination benefits are accrued upon the commitment to a termination plan and when the benefit arrangement is communicated to affected employees, or when liabilities are determined to be probable and estimable, depending on the existence of a substantive plan for separation or termination.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2026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the Company committed to a restructuring plan to realign its operating model and organizational structure to deliver on its key financial and operational priorities (“2026 Plan”). The 2026 Plan is expected to result in structural cost reductions impacting the Company’s global salaried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cash restructuring costs of between $9,000 and $9,500 for employee separation costs.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under the 2026 Plan are expected to be substantially completed by the end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restructuring expense of $3,896 and $9,013, respectively, for employee separation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Manufacturing Footprint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Company committed to an additional restructuring plan to further optimize the Company’s manufacturing footprint by realigning its global manufacturing capacity (“2025 Manufacturing Footprint Plan”). As a result, the Company will relocate certain manufacturing activities between existing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cash restructuring costs of between $3,000 and $4,000 for employee separation and retention costs and $1,000 of other transition costs primarily for machinery and equipment move and set up costs. Additionally, we expect to incur capital expenditures of between $1,000 and $2,000.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restructuring expense of $0.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inception of this program, the Company has recorded $2,190 of restructuring expenses. The actions under the 2025 Manufacturing Footprint Plan are expected to be substantially completed by the end of 2027.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2025 EMEA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committed to a restructuring plan to further optimize the Company’s manufacturing footprint by realigning its manufacturing capacity in Europe (“2025 EMEA Plan”). As a result, the Company will close its facility in Plzeň, Czech Republic and relocate the manufacturing activities into other existing facilities within the region.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incur cash restructuring costs of between $4,000 and $6,000 for employee separation and retention costs and between $2,000 and $3,000 of other transition costs primarily for machinery and equipment move and set up costs. Additionally, we expect to incur capital expenditures of between $1,000 and $2,000.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restructuring expense of $332 and $710, respectively, for employee separation costs and $472 and $1,039, respectively, for other costs. During the three and six months ended June 30, 2025, the Company recognized restructuring expense of $367 and $2,773, respectively, for employee separation costs and $293 and $333, respectively, for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inception of this program, the Company has recorded $6,531 of restructuring expenses. The remaining actions under the 2025 EMEA Plan are expected to be substantially completed by the end of 2026. </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2025 Asia Plan</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committed to an additional restructuring plan to further optimize the Company’s manufacturing footprint by realigning its manufacturing capacity in Asia (“2025 Asia Plan”). As a result, the Company relocated certain manufacturing activities from its facility in Shanghai, China to its facility in Tianjin,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restructuring expense of $69 for employee separation costs and $294 and $327, respectively, for other costs. During the three and six months ended June 30, 2025, the Company recognized restructuring expense of $493 and $1,952, respectively, for employee separation costs and $89 and $117, respectively, for other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inception of this program, the Company has recorded $3,492 of restructuring expenses. The actions under the 2025 Asia Plan are substantially complete.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Restructuring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undertaken several discrete restructuring actions in an effort to optimize its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$25 and $58, for employee separation costs related to structural cost reductions impacting the Company’s global salaried workforce. During the three and six months ended June 30, 2025, the Company recognized $695 and $1,216, for employee separation costs related to structural cost reductions impacting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global salaried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Company’s Automotive segment recognized $876 and $1,439, respectively, for other costs, primarily related to the relocation of certain manufacturing to best cost locations. During the three and six months ended June 30, 2025, the Company’s Automotive segment recognized $(106) and $(262), respectively, for employee separation costs and $277 and $493, respectively, for other costs, primarily related to the relocation of certain manufacturing to best cost locations.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Expenses, Net By Reporting Segment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restructuring expenses, net for the three and six months ended June 30, 2026 and 2025 by reporting segment:</w:t>
      </w:r>
    </w:p>
    <w:tbl>
      <w:tblPr>
        <w:tblW w:w="6602" w:type="dxa"/>
        <w:jc w:val="left"/>
        <w:tblInd w:w="0" w:type="dxa"/>
        <w:tblLayout w:type="fixed"/>
        <w:tblCellMar>
          <w:top w:w="28" w:type="dxa"/>
          <w:left w:w="28" w:type="dxa"/>
          <w:bottom w:w="28" w:type="dxa"/>
          <w:right w:w="28" w:type="dxa"/>
        </w:tblCellMar>
      </w:tblPr>
      <w:tblGrid>
        <w:gridCol w:w="1096"/>
        <w:gridCol w:w="146"/>
        <w:gridCol w:w="278"/>
        <w:gridCol w:w="752"/>
        <w:gridCol w:w="192"/>
        <w:gridCol w:w="192"/>
        <w:gridCol w:w="278"/>
        <w:gridCol w:w="752"/>
        <w:gridCol w:w="146"/>
        <w:gridCol w:w="146"/>
        <w:gridCol w:w="240"/>
        <w:gridCol w:w="770"/>
        <w:gridCol w:w="166"/>
        <w:gridCol w:w="166"/>
        <w:gridCol w:w="240"/>
        <w:gridCol w:w="651"/>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Restructuring Liability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Restructuring liabilities are classified as other current liabilities in the consolidated condensed balance sheets. The following table summarizes restructuring activity for all restructuring initiatives for the six months ended June 30, 2026:</w:t>
      </w:r>
    </w:p>
    <w:tbl>
      <w:tblPr>
        <w:tblW w:w="10205" w:type="dxa"/>
        <w:jc w:val="left"/>
        <w:tblInd w:w="0" w:type="dxa"/>
        <w:tblLayout w:type="fixed"/>
        <w:tblCellMar>
          <w:top w:w="28" w:type="dxa"/>
          <w:left w:w="28" w:type="dxa"/>
          <w:bottom w:w="28" w:type="dxa"/>
          <w:right w:w="28" w:type="dxa"/>
        </w:tblCellMar>
      </w:tblPr>
      <w:tblGrid>
        <w:gridCol w:w="4069"/>
        <w:gridCol w:w="146"/>
        <w:gridCol w:w="506"/>
        <w:gridCol w:w="1621"/>
        <w:gridCol w:w="166"/>
        <w:gridCol w:w="146"/>
        <w:gridCol w:w="485"/>
        <w:gridCol w:w="1453"/>
        <w:gridCol w:w="166"/>
        <w:gridCol w:w="146"/>
        <w:gridCol w:w="211"/>
        <w:gridCol w:w="676"/>
        <w:gridCol w:w="414"/>
      </w:tblGrid>
      <w:tr>
        <w:trPr/>
        <w:tc>
          <w:tcPr>
            <w:tcW w:w="4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Employee Separation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Related Costs,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charged to 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5" w:name="note_4"/>
      <w:bookmarkEnd w:id="15"/>
      <w:r>
        <w:rPr>
          <w:rFonts w:ascii="Times New Roman" w:hAnsi="Times New Roman"/>
          <w:b/>
          <w:color w:val="000000"/>
          <w:sz w:val="20"/>
        </w:rPr>
        <w:t>Note 4 – Details of Certain Balance Sheet Components</w:t>
      </w:r>
    </w:p>
    <w:tbl>
      <w:tblPr>
        <w:tblW w:w="7530" w:type="dxa"/>
        <w:jc w:val="left"/>
        <w:tblInd w:w="0" w:type="dxa"/>
        <w:tblLayout w:type="fixed"/>
        <w:tblCellMar>
          <w:top w:w="28" w:type="dxa"/>
          <w:left w:w="28" w:type="dxa"/>
          <w:bottom w:w="28" w:type="dxa"/>
          <w:right w:w="28" w:type="dxa"/>
        </w:tblCellMar>
      </w:tblPr>
      <w:tblGrid>
        <w:gridCol w:w="3801"/>
        <w:gridCol w:w="146"/>
        <w:gridCol w:w="245"/>
        <w:gridCol w:w="910"/>
        <w:gridCol w:w="146"/>
        <w:gridCol w:w="146"/>
        <w:gridCol w:w="328"/>
        <w:gridCol w:w="1217"/>
        <w:gridCol w:w="591"/>
      </w:tblGrid>
      <w:tr>
        <w:trPr/>
        <w:tc>
          <w:tcPr>
            <w:tcW w:w="3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Billable tooling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and other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employee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from discounts and rebates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and other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Merger and acquisition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note_5"/>
      <w:bookmarkEnd w:id="16"/>
      <w:r>
        <w:rPr>
          <w:rFonts w:ascii="Times New Roman" w:hAnsi="Times New Roman"/>
          <w:b/>
          <w:color w:val="000000"/>
          <w:sz w:val="20"/>
        </w:rPr>
        <w:t>Note 5 – Goodwill and Other Intangibles</w:t>
      </w:r>
    </w:p>
    <w:p>
      <w:pPr>
        <w:pStyle w:val="TextBody"/>
        <w:bidi w:val="0"/>
        <w:spacing w:before="24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Changes in the carrying amount of goodwill, by reportable segment, for the six months ended June 30, 2026 were as follows: </w:t>
      </w:r>
    </w:p>
    <w:tbl>
      <w:tblPr>
        <w:tblW w:w="6847" w:type="dxa"/>
        <w:jc w:val="left"/>
        <w:tblInd w:w="0" w:type="dxa"/>
        <w:tblLayout w:type="fixed"/>
        <w:tblCellMar>
          <w:top w:w="28" w:type="dxa"/>
          <w:left w:w="28" w:type="dxa"/>
          <w:bottom w:w="28" w:type="dxa"/>
          <w:right w:w="28" w:type="dxa"/>
        </w:tblCellMar>
      </w:tblPr>
      <w:tblGrid>
        <w:gridCol w:w="2821"/>
        <w:gridCol w:w="146"/>
        <w:gridCol w:w="239"/>
        <w:gridCol w:w="767"/>
        <w:gridCol w:w="166"/>
        <w:gridCol w:w="146"/>
        <w:gridCol w:w="211"/>
        <w:gridCol w:w="676"/>
        <w:gridCol w:w="146"/>
        <w:gridCol w:w="146"/>
        <w:gridCol w:w="211"/>
        <w:gridCol w:w="78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Automotive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Medical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accumulated impairment losses of goodwill for Automotive and Medical were $0 and $19,509, respectively,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intangible assets and accumulated amortization balances as of June 30, 2026 and December 31, 2025 were as follows:</w:t>
      </w:r>
    </w:p>
    <w:tbl>
      <w:tblPr>
        <w:tblW w:w="8956" w:type="dxa"/>
        <w:jc w:val="left"/>
        <w:tblInd w:w="0" w:type="dxa"/>
        <w:tblLayout w:type="fixed"/>
        <w:tblCellMar>
          <w:top w:w="28" w:type="dxa"/>
          <w:left w:w="28" w:type="dxa"/>
          <w:bottom w:w="28" w:type="dxa"/>
          <w:right w:w="28" w:type="dxa"/>
        </w:tblCellMar>
      </w:tblPr>
      <w:tblGrid>
        <w:gridCol w:w="2821"/>
        <w:gridCol w:w="146"/>
        <w:gridCol w:w="277"/>
        <w:gridCol w:w="1028"/>
        <w:gridCol w:w="146"/>
        <w:gridCol w:w="146"/>
        <w:gridCol w:w="225"/>
        <w:gridCol w:w="901"/>
        <w:gridCol w:w="166"/>
        <w:gridCol w:w="146"/>
        <w:gridCol w:w="282"/>
        <w:gridCol w:w="844"/>
        <w:gridCol w:w="166"/>
        <w:gridCol w:w="146"/>
        <w:gridCol w:w="267"/>
        <w:gridCol w:w="858"/>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Gross </w:t>
              <w:b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Impairment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Definite-lived: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17" w:name="note_6"/>
      <w:bookmarkEnd w:id="17"/>
      <w:r>
        <w:rPr>
          <w:rFonts w:ascii="Times New Roman" w:hAnsi="Times New Roman"/>
          <w:b/>
          <w:color w:val="000000"/>
          <w:sz w:val="20"/>
        </w:rPr>
        <w:t>Note 6 –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debt as of June 30, 2026 and December 31, 2025:</w:t>
      </w:r>
    </w:p>
    <w:p>
      <w:pPr>
        <w:pStyle w:val="TextBody"/>
        <w:bidi w:val="0"/>
        <w:jc w:val="left"/>
        <w:rPr/>
      </w:pPr>
      <w:r>
        <w:rPr/>
        <w:t> </w:t>
      </w:r>
    </w:p>
    <w:tbl>
      <w:tblPr>
        <w:tblW w:w="9541" w:type="dxa"/>
        <w:jc w:val="left"/>
        <w:tblInd w:w="0" w:type="dxa"/>
        <w:tblLayout w:type="fixed"/>
        <w:tblCellMar>
          <w:top w:w="28" w:type="dxa"/>
          <w:left w:w="28" w:type="dxa"/>
          <w:bottom w:w="28" w:type="dxa"/>
          <w:right w:w="28" w:type="dxa"/>
        </w:tblCellMar>
      </w:tblPr>
      <w:tblGrid>
        <w:gridCol w:w="4531"/>
        <w:gridCol w:w="146"/>
        <w:gridCol w:w="146"/>
        <w:gridCol w:w="571"/>
        <w:gridCol w:w="271"/>
        <w:gridCol w:w="146"/>
        <w:gridCol w:w="211"/>
        <w:gridCol w:w="781"/>
        <w:gridCol w:w="166"/>
        <w:gridCol w:w="146"/>
        <w:gridCol w:w="168"/>
        <w:gridCol w:w="538"/>
        <w:gridCol w:w="271"/>
        <w:gridCol w:w="146"/>
        <w:gridCol w:w="211"/>
        <w:gridCol w:w="781"/>
        <w:gridCol w:w="3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(U.S. Dollar denominations)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29, 2026, the Company entered into a Third Amended and Restated Credit Agreement (amending and restating in its entirety the Second Amended and Restated Credit Agreement, dated as of June 10, 2022, as amended) described below, the “Credit Agreement” with a consortium of lenders and Bank of America, N.A., as administrative agent (the “Agent”). The amendment, among other things, extended the maturity date to June 29, 2031.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provides for a $550,000 secured revolving credit facility (the “Revolving Credit Facility”), with a $50,000 sublimit for swing line loans and a $30,000 sublimit for the issuance of letters of credit. Any amount of the facility utilized for swing line loans or letters of credit outstanding will reduce the amount available under the Credit Agreement. Gentherm can increase the Revolving Credit Facility or establish incremental facilities subject to specified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Credit Agreement, all obligations are unconditionally guaranteed by certain of the Company’s subsidiaries and a security interest is granted in substantially all of the personal property of the Company and its U.S. subsidiaries designated as borrowers or guarantors, including the stock and membership interests of specified subsidiaries. The Credit Agreement contains covenants, that, among other things, (i) prohibit or limit the ability to incur additional indebtedness, create liens, pay dividends, make certain types of investments,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Credit Agreement also contains customary events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was in compliance with the terms of the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U.S. Dollar denominated loans bear interest at either a base rate (“Base Rate Loans”) or Term Secured Overnight Financing Rate (“Term SOFR Rate Loans”), plus a margin (“Applicable Rate”). The rate for Base Rate Loans is equal to the highest of the Federal Funds Rate plus 0.50%, Bank of America’s prime rate, or the Term SOFR rate plus 1.00%. The rate for Term SOFR Rate Loans denominated in U.S. Dollars is equal to the forward-looking Term SOFR rate administered by the Chicago Mercantile Exchange with a term of one month. All loans denominated in a currency other than the U.S. Dollar must use the term Canadian Overnight Repo Rate Average, Euro Interbank Offered Rate, or Sterling Overnight Index Average (depending on the currency of the borrowing), plus the Applicable rate. Additionally, a commitment fee of between 0.150% to 0.250% is payable on the daily unused amounts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Rate varies based on the Consolidated Net Leverage Ratio reported by the Company. As long as the Company is not in default of the terms and conditions of the Credit Agreement, the lowest and highest possible Applicable Rate is 1.125% and 2.000%, respectively, for Term SOFR Rate Loans and 0.125% and 1.000%, respectively, for Base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consolidated EBITDA for the trailing four fiscal quarters calculated for purposes of the Consolidated Net Leverage Ratio, $289,137 remained available for additional borrowings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$4,591 and $3,574 of outstanding letters of credit and other guarantees issued as of June 30, 2026 and December 31, 2025,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Third Amended and Restated Credit Agreement, the Company incurred debt issuance costs of $2,761, which have been capitalized and will be amortized into interest expense over the term of the credit facility. In addition, unamortized deferred debt issuance costs of $75 were written-off and recognized in Interest expense, net during the three and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scheduled maturities of our debt as of June 30, 2026 were as follows:</w:t>
      </w:r>
    </w:p>
    <w:p>
      <w:pPr>
        <w:pStyle w:val="TextBody"/>
        <w:bidi w:val="0"/>
        <w:jc w:val="left"/>
        <w:rPr/>
      </w:pPr>
      <w:r>
        <w:rPr/>
        <w:t> </w:t>
      </w:r>
    </w:p>
    <w:tbl>
      <w:tblPr>
        <w:tblW w:w="6539" w:type="dxa"/>
        <w:jc w:val="left"/>
        <w:tblInd w:w="0" w:type="dxa"/>
        <w:tblLayout w:type="fixed"/>
        <w:tblCellMar>
          <w:top w:w="28" w:type="dxa"/>
          <w:left w:w="28" w:type="dxa"/>
          <w:bottom w:w="28" w:type="dxa"/>
          <w:right w:w="28" w:type="dxa"/>
        </w:tblCellMar>
      </w:tblPr>
      <w:tblGrid>
        <w:gridCol w:w="1156"/>
        <w:gridCol w:w="146"/>
        <w:gridCol w:w="427"/>
        <w:gridCol w:w="1583"/>
        <w:gridCol w:w="146"/>
        <w:gridCol w:w="146"/>
        <w:gridCol w:w="299"/>
        <w:gridCol w:w="961"/>
        <w:gridCol w:w="146"/>
        <w:gridCol w:w="146"/>
        <w:gridCol w:w="211"/>
        <w:gridCol w:w="781"/>
        <w:gridCol w:w="3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Revolving Credit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or later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8" w:name="note_7"/>
      <w:bookmarkEnd w:id="18"/>
      <w:r>
        <w:rPr>
          <w:rFonts w:ascii="Times New Roman" w:hAnsi="Times New Roman"/>
          <w:b/>
          <w:color w:val="000000"/>
          <w:sz w:val="20"/>
        </w:rPr>
        <w:t>Note 7 – Commitments and Contingencies</w:t>
      </w:r>
    </w:p>
    <w:p>
      <w:pPr>
        <w:pStyle w:val="TextBody"/>
        <w:bidi w:val="0"/>
        <w:spacing w:before="240" w:after="283"/>
        <w:jc w:val="left"/>
        <w:rPr>
          <w:rFonts w:ascii="Times New Roman" w:hAnsi="Times New Roman"/>
          <w:i/>
          <w:color w:val="000000"/>
          <w:sz w:val="20"/>
        </w:rPr>
      </w:pPr>
      <w:bookmarkStart w:id="19" w:name="item_2_1"/>
      <w:bookmarkEnd w:id="19"/>
      <w:r>
        <w:rPr>
          <w:rFonts w:ascii="Times New Roman" w:hAnsi="Times New Roman"/>
          <w:i/>
          <w:color w:val="000000"/>
          <w:sz w:val="20"/>
        </w:rPr>
        <w:t>Legal and Other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various legal actions and claims in the ordinary course of its business, which may include those arising out of breach of contracts, intellectual property rights, environmental matters, regulatory matters and employment-related matters. The Company establishes accruals for matters which it believes that losses are probable and can be reasonably estimated. Although it is not possible to predict with certainty the outcome of these matters, the Company is of the opinion that the ultimate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resolution of these matters outstanding as of June 30, 2026 will not have a material adverse effect on its results of operations or financial position. Product liability and warranty reserves are recorded separately from legal reserves.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Product Liability and Warranty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subject us to warranty claims and, from time to time, product liability claims based on the Company’s products alleged failure to perform as expected or resulting in alleged bodily injury or property damage. If any of our products are or are alleged to be defective, we may be required to participate in a recall or other corrective action involving such products. The Company maintains warranty and product liability insurance coverage at levels based on commercial norms and historical claims experience. Such policies may not cover all costs associated with a claim. The Company can provide no assurances that it will not experience material warranty or product liability claims or liabilities in the future or that it will not incur significant costs to defend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warranty obligations for products sold based on management estimates of future failure rates and current claim cost experience, with support from the sales, engineering, quality and legal functions. Using historical information available to the Company, including any claims filed by customers, the warranty accrual is adjusted quarterly to reflect management’s estimate of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14, 2024, the National Highway Traffic Safety Administration announced that Volkswagen Group of America, Inc. (“VW”) is recalling 261,257 vehicles from model years 2015-2020 to remedy an alleged problem with a suction jet pump seal inside the fuel tank system. VW informed Gentherm of its plan to conduct the recall on April 3, 2024. The suction jet pump is a product originally designed and manufactured by Alfmeier, the business Gentherm acquired in August 2022. The Company has not accepted any financial responsibility for the recall and is pursuing discussions with VW to advance its position and resolve this matter. No litigation has been threatened or filed as of the date of this report. If the Company is obligated to indemnify VW for the direct and indirect costs associated with the recall, such costs could be material. The Company's insurance policies are not expected to apply to this recall as the production period for the affected parts is outside of the insurance coverage period. The Company’s purchase agreement of Alfmeier includes indemnification provisions under which the Company believes it would have a claim against the sellers which would cover a portion of the potential costs. Given the uncertainty that exists concerning the resolution of this matter, as of the date of this report, the Company cannot reasonably estimate the amount and timing of possible costs that may be incurred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NHTSA announced that VW and Porsche Cars North America, Inc. (“Porsche”) are each recalling vehicles from model years 2022-2023 to remedy a problem with their passenger occupant detection system that is alleged to be affected by the crimp connection of the seat cushion heating mat, which is produced by Gentherm. Total vehicles included in these recall campaigns are 13,508. No litigation has been threatened or filed as of the date of this report and the Company has not accepted any financial responsibility for the recalls. If the Company is obligated to indemnify VW and Porsche for the direct and indirect costs associated with the recall, such costs could be material. Insurance policies, noted above, are expected to apply. Given the uncertainty that exists concerning the resolution of this matter, as of the date of this report, the Company cannot reasonably estimate the amount and timing of possible costs that may be incurred by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reconciliation of the changes in accrued warranty costs: </w:t>
      </w:r>
    </w:p>
    <w:p>
      <w:pPr>
        <w:pStyle w:val="TextBody"/>
        <w:bidi w:val="0"/>
        <w:jc w:val="left"/>
        <w:rPr/>
      </w:pPr>
      <w:r>
        <w:rPr/>
        <w:t> </w:t>
      </w:r>
    </w:p>
    <w:tbl>
      <w:tblPr>
        <w:tblW w:w="8346" w:type="dxa"/>
        <w:jc w:val="left"/>
        <w:tblInd w:w="0" w:type="dxa"/>
        <w:tblLayout w:type="fixed"/>
        <w:tblCellMar>
          <w:top w:w="28" w:type="dxa"/>
          <w:left w:w="28" w:type="dxa"/>
          <w:bottom w:w="28" w:type="dxa"/>
          <w:right w:w="28" w:type="dxa"/>
        </w:tblCellMar>
      </w:tblPr>
      <w:tblGrid>
        <w:gridCol w:w="5556"/>
        <w:gridCol w:w="146"/>
        <w:gridCol w:w="231"/>
        <w:gridCol w:w="740"/>
        <w:gridCol w:w="181"/>
        <w:gridCol w:w="159"/>
        <w:gridCol w:w="231"/>
        <w:gridCol w:w="691"/>
        <w:gridCol w:w="411"/>
      </w:tblGrid>
      <w:tr>
        <w:trPr/>
        <w:tc>
          <w:tcPr>
            <w:tcW w:w="5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claims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expense for products shipped during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warranty estimates from prior periods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due to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0" w:name="note_8"/>
      <w:bookmarkEnd w:id="20"/>
      <w:r>
        <w:rPr>
          <w:rFonts w:ascii="Times New Roman" w:hAnsi="Times New Roman"/>
          <w:b/>
          <w:color w:val="000000"/>
          <w:sz w:val="20"/>
        </w:rPr>
        <w:t>Note 8 – Supplier Finance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was previously party to a supplier finance program with a third-party service provider (“Service Provider”), pursuant to which the Company offered the opportunity to participate to certain of the Company's suppliers. The Company had no economic interest in a supplier’s participation and the Company has not pledged any assets to the Service Provider under this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such supplier finance program was terminated. As of June 30, 2026, the Company had no supplier obligations confirmed under these arrangements. </w:t>
      </w:r>
    </w:p>
    <w:p>
      <w:pPr>
        <w:pStyle w:val="TextBody"/>
        <w:bidi w:val="0"/>
        <w:spacing w:before="240" w:after="283"/>
        <w:jc w:val="left"/>
        <w:rPr>
          <w:rFonts w:ascii="Times New Roman" w:hAnsi="Times New Roman"/>
          <w:sz w:val="20"/>
        </w:rPr>
      </w:pPr>
      <w:bookmarkStart w:id="21" w:name="note_9"/>
      <w:bookmarkEnd w:id="21"/>
      <w:r>
        <w:rPr>
          <w:rFonts w:ascii="Times New Roman" w:hAnsi="Times New Roman"/>
          <w:b/>
          <w:color w:val="000000"/>
          <w:sz w:val="20"/>
        </w:rPr>
        <w:t>Note 9</w:t>
      </w:r>
      <w:r>
        <w:rPr>
          <w:rFonts w:ascii="Times New Roman" w:hAnsi="Times New Roman"/>
          <w:color w:val="000000"/>
          <w:sz w:val="20"/>
        </w:rPr>
        <w:t xml:space="preserve"> – </w:t>
      </w:r>
      <w:r>
        <w:rPr>
          <w:rFonts w:ascii="Times New Roman" w:hAnsi="Times New Roman"/>
          <w:b/>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are computed by dividing net income by the weighted average number of shares of the Company’s Common Stock, no par value (“Common Stock”), outstanding during the period. The Company’s diluted earnings per share give effect to all potential shares of Common Stock outstanding during a period that do not have an anti-dilutive impact to the calculation. There were no potential shares with an anti-dilutive impact during the three and six months ended June 30, 2026. In computing the diluted earnings per share, the treasury stock method is used in determining the number of shares assumed to be issued from the exercise of Common Stock equivalents.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illustrates earnings per share and the weighted average shares outstanding used in calculating basic and diluted earnings per share: </w:t>
      </w:r>
    </w:p>
    <w:tbl>
      <w:tblPr>
        <w:tblW w:w="10205" w:type="dxa"/>
        <w:jc w:val="left"/>
        <w:tblInd w:w="0" w:type="dxa"/>
        <w:tblLayout w:type="fixed"/>
        <w:tblCellMar>
          <w:top w:w="28" w:type="dxa"/>
          <w:left w:w="28" w:type="dxa"/>
          <w:bottom w:w="28" w:type="dxa"/>
          <w:right w:w="28" w:type="dxa"/>
        </w:tblCellMar>
      </w:tblPr>
      <w:tblGrid>
        <w:gridCol w:w="3804"/>
        <w:gridCol w:w="146"/>
        <w:gridCol w:w="211"/>
        <w:gridCol w:w="1036"/>
        <w:gridCol w:w="146"/>
        <w:gridCol w:w="146"/>
        <w:gridCol w:w="211"/>
        <w:gridCol w:w="1036"/>
        <w:gridCol w:w="146"/>
        <w:gridCol w:w="146"/>
        <w:gridCol w:w="211"/>
        <w:gridCol w:w="1036"/>
        <w:gridCol w:w="146"/>
        <w:gridCol w:w="146"/>
        <w:gridCol w:w="211"/>
        <w:gridCol w:w="1036"/>
        <w:gridCol w:w="39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30,600,168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30,687,384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restricted stock, 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31,053,797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30,651,728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30,947,174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30,781,468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2" w:name="note_10"/>
      <w:bookmarkEnd w:id="22"/>
      <w:r>
        <w:rPr>
          <w:rFonts w:ascii="Times New Roman" w:hAnsi="Times New Roman"/>
          <w:b/>
          <w:color w:val="000000"/>
          <w:sz w:val="20"/>
        </w:rPr>
        <w:t>Note 10 – Financial Instruments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various market risks including, but not limited to, changes in foreign currency exchange rates, changes in interest rates and price fluctuations of certain material commodities.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the recurring fair value measurement of derivative financial instruments in the consolidated condensed balance sheet as of June 30, 2026 is as follows:</w:t>
      </w:r>
    </w:p>
    <w:tbl>
      <w:tblPr>
        <w:tblW w:w="10205" w:type="dxa"/>
        <w:jc w:val="left"/>
        <w:tblInd w:w="0" w:type="dxa"/>
        <w:tblLayout w:type="fixed"/>
        <w:tblCellMar>
          <w:top w:w="28" w:type="dxa"/>
          <w:left w:w="28" w:type="dxa"/>
          <w:bottom w:w="28" w:type="dxa"/>
          <w:right w:w="28" w:type="dxa"/>
        </w:tblCellMar>
      </w:tblPr>
      <w:tblGrid>
        <w:gridCol w:w="2115"/>
        <w:gridCol w:w="146"/>
        <w:gridCol w:w="890"/>
        <w:gridCol w:w="146"/>
        <w:gridCol w:w="251"/>
        <w:gridCol w:w="886"/>
        <w:gridCol w:w="146"/>
        <w:gridCol w:w="146"/>
        <w:gridCol w:w="1105"/>
        <w:gridCol w:w="146"/>
        <w:gridCol w:w="196"/>
        <w:gridCol w:w="376"/>
        <w:gridCol w:w="146"/>
        <w:gridCol w:w="146"/>
        <w:gridCol w:w="1198"/>
        <w:gridCol w:w="146"/>
        <w:gridCol w:w="196"/>
        <w:gridCol w:w="376"/>
        <w:gridCol w:w="146"/>
        <w:gridCol w:w="146"/>
        <w:gridCol w:w="291"/>
        <w:gridCol w:w="650"/>
        <w:gridCol w:w="215"/>
      </w:tblGrid>
      <w:tr>
        <w:trPr/>
        <w:tc>
          <w:tcPr>
            <w:tcW w:w="2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Assets/</w:t>
              <w:br/>
              <w:t>(Liabilities)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Information related to the recurring fair value measurement of derivative instruments in the consolidated condensed balance sheet as of December 31, 2025 is as follows:</w:t>
      </w:r>
    </w:p>
    <w:tbl>
      <w:tblPr>
        <w:tblW w:w="10205" w:type="dxa"/>
        <w:jc w:val="left"/>
        <w:tblInd w:w="0" w:type="dxa"/>
        <w:tblLayout w:type="fixed"/>
        <w:tblCellMar>
          <w:top w:w="28" w:type="dxa"/>
          <w:left w:w="28" w:type="dxa"/>
          <w:bottom w:w="28" w:type="dxa"/>
          <w:right w:w="28" w:type="dxa"/>
        </w:tblCellMar>
      </w:tblPr>
      <w:tblGrid>
        <w:gridCol w:w="2044"/>
        <w:gridCol w:w="146"/>
        <w:gridCol w:w="889"/>
        <w:gridCol w:w="146"/>
        <w:gridCol w:w="247"/>
        <w:gridCol w:w="874"/>
        <w:gridCol w:w="146"/>
        <w:gridCol w:w="146"/>
        <w:gridCol w:w="1085"/>
        <w:gridCol w:w="146"/>
        <w:gridCol w:w="196"/>
        <w:gridCol w:w="511"/>
        <w:gridCol w:w="146"/>
        <w:gridCol w:w="146"/>
        <w:gridCol w:w="1172"/>
        <w:gridCol w:w="146"/>
        <w:gridCol w:w="196"/>
        <w:gridCol w:w="376"/>
        <w:gridCol w:w="146"/>
        <w:gridCol w:w="146"/>
        <w:gridCol w:w="259"/>
        <w:gridCol w:w="680"/>
        <w:gridCol w:w="216"/>
      </w:tblGrid>
      <w:tr>
        <w:trPr/>
        <w:tc>
          <w:tcPr>
            <w:tcW w:w="2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Liability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Assets/</w:t>
              <w:br/>
              <w:t>(Liabilities)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Information relating to the effect of derivative instruments on the consolidated condensed statements of income and the consolidated condensed statements of comprehensive income (loss) is as follows:</w:t>
      </w:r>
    </w:p>
    <w:tbl>
      <w:tblPr>
        <w:tblW w:w="10205" w:type="dxa"/>
        <w:jc w:val="left"/>
        <w:tblInd w:w="0" w:type="dxa"/>
        <w:tblLayout w:type="fixed"/>
        <w:tblCellMar>
          <w:top w:w="28" w:type="dxa"/>
          <w:left w:w="28" w:type="dxa"/>
          <w:bottom w:w="28" w:type="dxa"/>
          <w:right w:w="28" w:type="dxa"/>
        </w:tblCellMar>
      </w:tblPr>
      <w:tblGrid>
        <w:gridCol w:w="2700"/>
        <w:gridCol w:w="146"/>
        <w:gridCol w:w="2347"/>
        <w:gridCol w:w="146"/>
        <w:gridCol w:w="239"/>
        <w:gridCol w:w="624"/>
        <w:gridCol w:w="202"/>
        <w:gridCol w:w="178"/>
        <w:gridCol w:w="239"/>
        <w:gridCol w:w="624"/>
        <w:gridCol w:w="166"/>
        <w:gridCol w:w="146"/>
        <w:gridCol w:w="217"/>
        <w:gridCol w:w="635"/>
        <w:gridCol w:w="184"/>
        <w:gridCol w:w="162"/>
        <w:gridCol w:w="217"/>
        <w:gridCol w:w="635"/>
        <w:gridCol w:w="398"/>
      </w:tblGrid>
      <w:tr>
        <w:trPr/>
        <w:tc>
          <w:tcPr>
            <w:tcW w:w="2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Location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Designated as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9,054</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foreign currency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7,241</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rate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Derivatives Not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 rate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incur any hedge ineffectiveness during the three and six months ended June 30, 2026 and 2025.</w:t>
      </w:r>
    </w:p>
    <w:p>
      <w:pPr>
        <w:pStyle w:val="TextBody"/>
        <w:bidi w:val="0"/>
        <w:spacing w:before="240" w:after="283"/>
        <w:jc w:val="left"/>
        <w:rPr>
          <w:rFonts w:ascii="Times New Roman" w:hAnsi="Times New Roman"/>
          <w:b/>
          <w:color w:val="000000"/>
          <w:sz w:val="20"/>
        </w:rPr>
      </w:pPr>
      <w:bookmarkStart w:id="23" w:name="note_11"/>
      <w:bookmarkEnd w:id="23"/>
      <w:r>
        <w:rPr>
          <w:rFonts w:ascii="Times New Roman" w:hAnsi="Times New Roman"/>
          <w:b/>
          <w:color w:val="000000"/>
          <w:sz w:val="20"/>
        </w:rPr>
        <w:t>Note 11 –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on the measurement date. In determining fair value, the Company utilizes valuation techniques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maximize the use of observable inputs and minimize the use of unobservable inputs to the extent possible and also considers counterparty credit risk in its assessment of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measurements are classified under the following fair value hierarchy:</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Quoted prices (unadjusted) in active markets that are accessible at the measurement date for assets or liabilities. The fair value hierarchy gives the highest priority to Level 1 inputs.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Inputs, other than quoted market prices included in Level 1, that are observable either directly or indirectly for the asset or liability.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Unobservable inputs that are used when little or no market data is available. Unobservable inputs are used if there is little or no market data for the asset or liability at the measurement date.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Measured at 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approach to value derivatives instruments, analyzing quoted market prices to calculate the forward values and then discounting such forward values to the present value using benchmark rates at commonly quoted intervals for the instrument’s full term. The Company had no other material financial assets and liabilities that were carried at fair value at June 30, 2026 and December 31,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Measured at Fair Value on a Nonrecurring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non-recurring basis. During the six months ended June 30, 2025, there was a decrease in the fair value of an equity investment of $1,294 due to observable transactions (Level 2), which was recorded in other income (loss). As of June 30, 2026, and December 31, 2025, there were no other significant assets or liabilities measured at fair value on a non-recurring basis.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Items Not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an income valuation technique to measure the fair values of its debt instruments by converting amounts of future cash flows to a single present value amount using rates based on current market expectations (Level 2 inputs). As of June 30, 2026, and December 31, 2025, the carrying values of the indebtedness under the Credit Agreement were not materially different than the estimated fair values because the interest rates on variable rate debt approximated rates currently available to the Company (see Note 6, “Debt”). </w:t>
      </w:r>
    </w:p>
    <w:p>
      <w:pPr>
        <w:pStyle w:val="TextBody"/>
        <w:bidi w:val="0"/>
        <w:spacing w:before="240" w:after="283"/>
        <w:jc w:val="left"/>
        <w:rPr>
          <w:rFonts w:ascii="Times New Roman" w:hAnsi="Times New Roman"/>
          <w:sz w:val="20"/>
        </w:rPr>
      </w:pPr>
      <w:bookmarkStart w:id="24" w:name="note_12"/>
      <w:bookmarkEnd w:id="24"/>
      <w:r>
        <w:rPr>
          <w:rFonts w:ascii="Times New Roman" w:hAnsi="Times New Roman"/>
          <w:b/>
          <w:color w:val="000000"/>
          <w:sz w:val="20"/>
        </w:rPr>
        <w:t>Note 12 –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Board of Directors (the “Board”) authorized a stock repurchase program (the “2024 Stock Repurchase Program”) to commence upon expiration of the Company’s prior stock repurchase program on June 30, 2024. Under the 2024 Stock Repurchase Program, the Company was authorized to repurchase up to $150,000 of its issued and outstanding Common Stock over a three-year period, expiring June 30,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2026, the Board terminated the 2024 Stock Repurchase Program and authorized a new stock repurchase program (the “2026 Stock Repurchase Program”), pursuant to which the Company is authorized to repurchase up to $400,000 of its issued and outstanding Common Stock over a three-year period, expiring July 27, 2029. At the time of termination, the 2024 Stock Repurchase Program had $110,103 of share repurchase authorization remaining. </w:t>
      </w:r>
    </w:p>
    <w:p>
      <w:pPr>
        <w:pStyle w:val="TextBody"/>
        <w:bidi w:val="0"/>
        <w:jc w:val="left"/>
        <w:rPr>
          <w:rFonts w:ascii="Times New Roman" w:hAnsi="Times New Roman"/>
          <w:color w:val="000000"/>
          <w:sz w:val="20"/>
        </w:rPr>
      </w:pPr>
      <w:r>
        <w:rPr>
          <w:rFonts w:ascii="Times New Roman" w:hAnsi="Times New Roman"/>
          <w:color w:val="000000"/>
          <w:sz w:val="20"/>
        </w:rPr>
        <w:t xml:space="preserve">Repurchases may be made, from time to time, in amounts and at prices the Company deems appropriate, subject to market conditions, applicable legal requirements, debt covenants and other contractual restrictions and other considerations.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did not repurchase any shares. During the three and six months ended June 30, 2025, the Company repurchased $10,015 under the 2024 Stock Repurchase Program with an average price paid per share of $26.24. Stock repurchases are subject to excise tax, subject to specified exclusions and adjustments. Excise tax of $100 was charged to common stock for the three and six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25" w:name="note_13"/>
      <w:bookmarkEnd w:id="25"/>
      <w:r>
        <w:rPr>
          <w:rFonts w:ascii="Times New Roman" w:hAnsi="Times New Roman"/>
          <w:b/>
          <w:color w:val="000000"/>
          <w:sz w:val="20"/>
        </w:rPr>
        <w:t>Note 13 – Reclassifications Out of Accumulated Other Comprehensive</w:t>
      </w:r>
      <w:r>
        <w:rPr>
          <w:rFonts w:ascii="Times New Roman" w:hAnsi="Times New Roman"/>
          <w:color w:val="000000"/>
          <w:sz w:val="20"/>
        </w:rPr>
        <w:t xml:space="preserve"> </w:t>
      </w:r>
      <w:r>
        <w:rPr>
          <w:rFonts w:ascii="Times New Roman" w:hAnsi="Times New Roman"/>
          <w:b/>
          <w:color w:val="000000"/>
          <w:sz w:val="20"/>
        </w:rPr>
        <w:t>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Reclassification adjustments and other activities impacting accumulated other comprehensive loss during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4117"/>
        <w:gridCol w:w="146"/>
        <w:gridCol w:w="211"/>
        <w:gridCol w:w="631"/>
        <w:gridCol w:w="166"/>
        <w:gridCol w:w="146"/>
        <w:gridCol w:w="247"/>
        <w:gridCol w:w="864"/>
        <w:gridCol w:w="166"/>
        <w:gridCol w:w="146"/>
        <w:gridCol w:w="403"/>
        <w:gridCol w:w="1211"/>
        <w:gridCol w:w="166"/>
        <w:gridCol w:w="226"/>
        <w:gridCol w:w="211"/>
        <w:gridCol w:w="736"/>
        <w:gridCol w:w="412"/>
      </w:tblGrid>
      <w:tr>
        <w:trPr/>
        <w:tc>
          <w:tcPr>
            <w:tcW w:w="4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loss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pPr>
      <w:r>
        <w:rPr>
          <w:rFonts w:ascii="Times New Roman" w:hAnsi="Times New Roman"/>
          <w:color w:val="000000"/>
          <w:sz w:val="18"/>
        </w:rPr>
        <w:t>The amounts reclassified from accumulated other comprehensive loss of $(3,135) and $18</w:t>
      </w:r>
      <w:r>
        <w:rPr>
          <w:color w:val="000000"/>
        </w:rPr>
        <w:t xml:space="preserve"> </w:t>
      </w:r>
      <w:r>
        <w:rPr>
          <w:rFonts w:ascii="Times New Roman" w:hAnsi="Times New Roman"/>
          <w:color w:val="000000"/>
          <w:sz w:val="18"/>
        </w:rPr>
        <w:t>are included in cost of sales and interest expense, net, respectively, in the consolidated condensed statements of income. Refer to Note 10 “Financial Instruments,” for additional information.</w:t>
      </w:r>
    </w:p>
    <w:tbl>
      <w:tblPr>
        <w:tblW w:w="10205" w:type="dxa"/>
        <w:jc w:val="left"/>
        <w:tblInd w:w="0" w:type="dxa"/>
        <w:tblLayout w:type="fixed"/>
        <w:tblCellMar>
          <w:top w:w="28" w:type="dxa"/>
          <w:left w:w="28" w:type="dxa"/>
          <w:bottom w:w="28" w:type="dxa"/>
          <w:right w:w="28" w:type="dxa"/>
        </w:tblCellMar>
      </w:tblPr>
      <w:tblGrid>
        <w:gridCol w:w="4184"/>
        <w:gridCol w:w="146"/>
        <w:gridCol w:w="211"/>
        <w:gridCol w:w="631"/>
        <w:gridCol w:w="166"/>
        <w:gridCol w:w="146"/>
        <w:gridCol w:w="247"/>
        <w:gridCol w:w="864"/>
        <w:gridCol w:w="166"/>
        <w:gridCol w:w="146"/>
        <w:gridCol w:w="386"/>
        <w:gridCol w:w="1161"/>
        <w:gridCol w:w="166"/>
        <w:gridCol w:w="226"/>
        <w:gridCol w:w="211"/>
        <w:gridCol w:w="736"/>
        <w:gridCol w:w="412"/>
      </w:tblGrid>
      <w:tr>
        <w:trPr/>
        <w:tc>
          <w:tcPr>
            <w:tcW w:w="4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income (loss) were included in cost of sales in the consolidated condensed statements of income. Refer to Note 10 “Financial Instruments,” for additional information.</w:t>
      </w:r>
    </w:p>
    <w:tbl>
      <w:tblPr>
        <w:tblW w:w="10205" w:type="dxa"/>
        <w:jc w:val="left"/>
        <w:tblInd w:w="0" w:type="dxa"/>
        <w:tblLayout w:type="fixed"/>
        <w:tblCellMar>
          <w:top w:w="28" w:type="dxa"/>
          <w:left w:w="28" w:type="dxa"/>
          <w:bottom w:w="28" w:type="dxa"/>
          <w:right w:w="28" w:type="dxa"/>
        </w:tblCellMar>
      </w:tblPr>
      <w:tblGrid>
        <w:gridCol w:w="4117"/>
        <w:gridCol w:w="146"/>
        <w:gridCol w:w="211"/>
        <w:gridCol w:w="631"/>
        <w:gridCol w:w="166"/>
        <w:gridCol w:w="146"/>
        <w:gridCol w:w="247"/>
        <w:gridCol w:w="864"/>
        <w:gridCol w:w="166"/>
        <w:gridCol w:w="146"/>
        <w:gridCol w:w="403"/>
        <w:gridCol w:w="1211"/>
        <w:gridCol w:w="166"/>
        <w:gridCol w:w="226"/>
        <w:gridCol w:w="211"/>
        <w:gridCol w:w="736"/>
        <w:gridCol w:w="412"/>
      </w:tblGrid>
      <w:tr>
        <w:trPr/>
        <w:tc>
          <w:tcPr>
            <w:tcW w:w="4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pPr>
      <w:r>
        <w:rPr>
          <w:rFonts w:ascii="Times New Roman" w:hAnsi="Times New Roman"/>
          <w:color w:val="000000"/>
          <w:sz w:val="18"/>
        </w:rPr>
        <w:t>The amounts reclassified from accumulated other comprehensive loss of $(6,187) and $25</w:t>
      </w:r>
      <w:r>
        <w:rPr>
          <w:color w:val="000000"/>
        </w:rPr>
        <w:t xml:space="preserve"> </w:t>
      </w:r>
      <w:r>
        <w:rPr>
          <w:rFonts w:ascii="Times New Roman" w:hAnsi="Times New Roman"/>
          <w:color w:val="000000"/>
          <w:sz w:val="18"/>
        </w:rPr>
        <w:t>are included in cost of sales and interest expense, net, respectively, in the consolidated condensed statements of</w:t>
      </w:r>
      <w:r>
        <w:rPr>
          <w:color w:val="000000"/>
        </w:rPr>
        <w:t xml:space="preserve"> </w:t>
      </w:r>
      <w:r>
        <w:rPr>
          <w:rFonts w:ascii="Times New Roman" w:hAnsi="Times New Roman"/>
          <w:color w:val="000000"/>
          <w:sz w:val="18"/>
        </w:rPr>
        <w:t>income. Refer to Note 10 “Financial Instruments,”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4"/>
        <w:gridCol w:w="146"/>
        <w:gridCol w:w="211"/>
        <w:gridCol w:w="631"/>
        <w:gridCol w:w="166"/>
        <w:gridCol w:w="146"/>
        <w:gridCol w:w="247"/>
        <w:gridCol w:w="864"/>
        <w:gridCol w:w="166"/>
        <w:gridCol w:w="146"/>
        <w:gridCol w:w="386"/>
        <w:gridCol w:w="1161"/>
        <w:gridCol w:w="166"/>
        <w:gridCol w:w="226"/>
        <w:gridCol w:w="211"/>
        <w:gridCol w:w="736"/>
        <w:gridCol w:w="412"/>
      </w:tblGrid>
      <w:tr>
        <w:trPr/>
        <w:tc>
          <w:tcPr>
            <w:tcW w:w="4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Defined </w:t>
              <w:br/>
              <w:t>Benefit</w:t>
              <w:br/>
              <w:t xml:space="preserve">Pension </w:t>
              <w:br/>
              <w:t>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Foreign </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Flow Hedge 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of other comprehensive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 comprehensive income (loss) into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reclassified into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40"/>
        <w:jc w:val="left"/>
        <w:rPr>
          <w:rFonts w:ascii="Times New Roman" w:hAnsi="Times New Roman"/>
          <w:color w:val="000000"/>
          <w:sz w:val="18"/>
        </w:rPr>
      </w:pPr>
      <w:r>
        <w:rPr>
          <w:rFonts w:ascii="Times New Roman" w:hAnsi="Times New Roman"/>
          <w:color w:val="000000"/>
          <w:sz w:val="18"/>
        </w:rPr>
        <w:t>The amounts reclassified from accumulated other comprehensive income (loss) were included in cost of sales in the consolidated condensed statements of income. Refer to Note 10 “Financial Instruments,” for additional information.</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substantially all of the existing gains and losses related to cash flow derivatives reported in accumulated other comprehensive loss as of June 30, 2026 to be reclassified into earnings during the next twelve months. See Note 10 for additional information about derivative financial instruments and the effects from reclassification to net income.</w:t>
      </w:r>
    </w:p>
    <w:p>
      <w:pPr>
        <w:pStyle w:val="TextBody"/>
        <w:bidi w:val="0"/>
        <w:spacing w:before="240" w:after="283"/>
        <w:jc w:val="left"/>
        <w:rPr>
          <w:rFonts w:ascii="Times New Roman" w:hAnsi="Times New Roman"/>
          <w:sz w:val="20"/>
        </w:rPr>
      </w:pPr>
      <w:bookmarkStart w:id="26" w:name="note_14"/>
      <w:bookmarkEnd w:id="26"/>
      <w:r>
        <w:rPr>
          <w:rFonts w:ascii="Times New Roman" w:hAnsi="Times New Roman"/>
          <w:b/>
          <w:color w:val="000000"/>
          <w:sz w:val="20"/>
        </w:rPr>
        <w:t>Note 14 –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end of each interim period, the Company makes an estimate of the annual expected effective income tax rate and applies that rate to its ordinary year-to-date earnings or loss. The income tax provision or benefit related to unusual or infrequent items, if applicable, that will be separately reported or reported net of their related tax effects are individually computed and recognized in the interim period in which those items occur. In addition, the effect of changes in enacted tax laws or rates, tax status, judgment on the realizability of a beginning-of-the-year deferred tax asset in future years or income tax contingencies is recognized in the interim period in which the change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the annual expected effective income tax rate at each interim period requires certain estimates and assumptions including, but not limited to, the expected pre-tax income (or loss) for the year, projections of the proportion of income (and/or loss) earned and taxed in respective jurisdictions, permanent and temporary differences, and the likelihood of the realizability of deferred tax assets generated in the current year. Jurisdictions with a projected loss for the year for which no tax benefit can be recognized due to a valuation allowance are excluded from the estimated annual effective tax rate. The impact of such an exclusion could result in a higher or lower effective tax rate during a particular quarter, based upon the composition and timing of actual earnings compared to annual projections. The estimates used to compute the provision or benefit for income taxes may change as new events occur, additional information is obtained or as our tax environment changes. To the extent that the expected annual effective income tax rate changes, the effect of the change on prior interim periods is included in the income tax provision in the period in which the change in estimate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provision for income taxes and the corresponding effective tax rate for the three and six months ended June 30, 2026 and 2025, is shown below:</w:t>
      </w:r>
    </w:p>
    <w:p>
      <w:pPr>
        <w:pStyle w:val="TextBody"/>
        <w:bidi w:val="0"/>
        <w:jc w:val="left"/>
        <w:rPr/>
      </w:pPr>
      <w:r>
        <w:rPr/>
        <w:t> </w:t>
      </w:r>
    </w:p>
    <w:tbl>
      <w:tblPr>
        <w:tblW w:w="9500" w:type="dxa"/>
        <w:jc w:val="left"/>
        <w:tblInd w:w="0" w:type="dxa"/>
        <w:tblLayout w:type="fixed"/>
        <w:tblCellMar>
          <w:top w:w="28" w:type="dxa"/>
          <w:left w:w="28" w:type="dxa"/>
          <w:bottom w:w="28" w:type="dxa"/>
          <w:right w:w="28" w:type="dxa"/>
        </w:tblCellMar>
      </w:tblPr>
      <w:tblGrid>
        <w:gridCol w:w="3946"/>
        <w:gridCol w:w="146"/>
        <w:gridCol w:w="247"/>
        <w:gridCol w:w="792"/>
        <w:gridCol w:w="317"/>
        <w:gridCol w:w="171"/>
        <w:gridCol w:w="247"/>
        <w:gridCol w:w="669"/>
        <w:gridCol w:w="271"/>
        <w:gridCol w:w="146"/>
        <w:gridCol w:w="215"/>
        <w:gridCol w:w="689"/>
        <w:gridCol w:w="276"/>
        <w:gridCol w:w="148"/>
        <w:gridCol w:w="215"/>
        <w:gridCol w:w="689"/>
        <w:gridCol w:w="3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12,374</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$2,904 for the three months ended June 30, 2026 on earnings before income tax of $7,324, representing an effective tax rate of 39.7%.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$2,057 for the three months ended June 30, 2025 on earnings before income tax of $2,534, representing an effective tax rate of 81.2%. The effective tax rate differed from the U.S. Federal statutory rate of 21.0% primarily due to the impact of income taxes on foreign earnings taxed at rates varying from the U.S. Federal statutory rate and the unfavorable impact of global intangible low-tax income (“GILTI”).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$6,300 for the six months ended June 30, 2026 on earnings before income tax of $14,938, representing an effective tax rate of 42.2%.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$4,269 for the six months ended June 30, 2025 on earnings before income tax of $4,618, representing an effective tax rate of 92.4%. The effective tax rate differed from the U.S. Federal statutory rate of 21.0% primarily due to the unfavorable impact of GILTI, unfavorable tax effects of equity vesting and a valuation allowance established in the U.S. related to a capital loss carryforward.</w:t>
      </w:r>
    </w:p>
    <w:p>
      <w:pPr>
        <w:pStyle w:val="TextBody"/>
        <w:bidi w:val="0"/>
        <w:spacing w:before="240" w:after="283"/>
        <w:jc w:val="left"/>
        <w:rPr>
          <w:rFonts w:ascii="Times New Roman" w:hAnsi="Times New Roman"/>
          <w:sz w:val="20"/>
        </w:rPr>
      </w:pPr>
      <w:bookmarkStart w:id="27" w:name="note_15"/>
      <w:bookmarkEnd w:id="27"/>
      <w:r>
        <w:rPr>
          <w:rFonts w:ascii="Times New Roman" w:hAnsi="Times New Roman"/>
          <w:b/>
          <w:color w:val="000000"/>
          <w:sz w:val="20"/>
        </w:rPr>
        <w:t>Note 15 –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organized under two reportable segments: Automotive and Medical.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Automotive reporting segment is comprised of our global automotive businesses, including the design, development, manufacturing and sales of Automotive Climate and Comfort Solutions (including Climate Control Seats, Climate Control Interiors, Lumbar and Massage Comfort Solutions and Climate and Comfort Electronics), Valve Systems and other automotive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reporting segment is comprised of our patient temperature management business in the medical industry. Patient temperature management includes temperature management systems across multiple product categories addressing the needs of hyper-hypothermia therapy in intensive care, normothermia in surgical procedures and additional warming/cooling therapies utilized in acute and chronic care departments and non-hospital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Corporate and other unallocated expenses category includes certain enterprise and governance activities resulting in unallocated corporate costs and other activity and net costs that the Company may choose not to allocate directly to its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measure of assets has not been disclosed for each segment as it is not regularly reviewed by our chief operating decision maker.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segment information about the reported product revenues, significant segment expenses, operating income (loss) and depreciation and amortization of the Company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30"/>
        <w:gridCol w:w="146"/>
        <w:gridCol w:w="222"/>
        <w:gridCol w:w="827"/>
        <w:gridCol w:w="175"/>
        <w:gridCol w:w="154"/>
        <w:gridCol w:w="222"/>
        <w:gridCol w:w="827"/>
        <w:gridCol w:w="166"/>
        <w:gridCol w:w="146"/>
        <w:gridCol w:w="211"/>
        <w:gridCol w:w="781"/>
        <w:gridCol w:w="166"/>
        <w:gridCol w:w="146"/>
        <w:gridCol w:w="211"/>
        <w:gridCol w:w="781"/>
        <w:gridCol w:w="394"/>
      </w:tblGrid>
      <w:tr>
        <w:trPr/>
        <w:tc>
          <w:tcPr>
            <w:tcW w:w="4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404,815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Significant Segment Expenses and Operating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538,651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Medical operating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Corporate and Other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Other Segment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14,523</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Automotive and Medical segment product revenues by product category for the three and six months ended June 30, 2026 and 2025 were as follows: </w:t>
      </w:r>
    </w:p>
    <w:p>
      <w:pPr>
        <w:pStyle w:val="TextBody"/>
        <w:bidi w:val="0"/>
        <w:jc w:val="left"/>
        <w:rPr/>
      </w:pPr>
      <w:r>
        <w:rPr/>
        <w:t> </w:t>
      </w:r>
    </w:p>
    <w:tbl>
      <w:tblPr>
        <w:tblW w:w="9623" w:type="dxa"/>
        <w:jc w:val="left"/>
        <w:tblInd w:w="0" w:type="dxa"/>
        <w:tblLayout w:type="fixed"/>
        <w:tblCellMar>
          <w:top w:w="28" w:type="dxa"/>
          <w:left w:w="28" w:type="dxa"/>
          <w:bottom w:w="28" w:type="dxa"/>
          <w:right w:w="28" w:type="dxa"/>
        </w:tblCellMar>
      </w:tblPr>
      <w:tblGrid>
        <w:gridCol w:w="3876"/>
        <w:gridCol w:w="146"/>
        <w:gridCol w:w="226"/>
        <w:gridCol w:w="839"/>
        <w:gridCol w:w="156"/>
        <w:gridCol w:w="156"/>
        <w:gridCol w:w="226"/>
        <w:gridCol w:w="839"/>
        <w:gridCol w:w="146"/>
        <w:gridCol w:w="146"/>
        <w:gridCol w:w="211"/>
        <w:gridCol w:w="781"/>
        <w:gridCol w:w="146"/>
        <w:gridCol w:w="146"/>
        <w:gridCol w:w="211"/>
        <w:gridCol w:w="781"/>
        <w:gridCol w:w="591"/>
      </w:tblGrid>
      <w:tr>
        <w:trPr/>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217,465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391,173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Lumbar and Massage Comfort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Interiors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and Comfort 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Climate and Comfort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351,337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Valve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28,376</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 Automotive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(based on shipment destination) by geographic area for the three and six months ended June 30, 2026 and 2025 is as follows: </w:t>
      </w:r>
    </w:p>
    <w:p>
      <w:pPr>
        <w:pStyle w:val="TextBody"/>
        <w:bidi w:val="0"/>
        <w:jc w:val="left"/>
        <w:rPr/>
      </w:pPr>
      <w:r>
        <w:rPr/>
        <w:t> </w:t>
      </w:r>
    </w:p>
    <w:tbl>
      <w:tblPr>
        <w:tblW w:w="7543" w:type="dxa"/>
        <w:jc w:val="left"/>
        <w:tblInd w:w="0" w:type="dxa"/>
        <w:tblLayout w:type="fixed"/>
        <w:tblCellMar>
          <w:top w:w="28" w:type="dxa"/>
          <w:left w:w="28" w:type="dxa"/>
          <w:bottom w:w="28" w:type="dxa"/>
          <w:right w:w="28" w:type="dxa"/>
        </w:tblCellMar>
      </w:tblPr>
      <w:tblGrid>
        <w:gridCol w:w="1796"/>
        <w:gridCol w:w="146"/>
        <w:gridCol w:w="226"/>
        <w:gridCol w:w="839"/>
        <w:gridCol w:w="156"/>
        <w:gridCol w:w="156"/>
        <w:gridCol w:w="226"/>
        <w:gridCol w:w="839"/>
        <w:gridCol w:w="146"/>
        <w:gridCol w:w="146"/>
        <w:gridCol w:w="211"/>
        <w:gridCol w:w="781"/>
        <w:gridCol w:w="146"/>
        <w:gridCol w:w="146"/>
        <w:gridCol w:w="211"/>
        <w:gridCol w:w="781"/>
        <w:gridCol w:w="59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133,065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Slovakia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58,491</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283,101</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for each of the geographic areas in which the Company operates as of June 30, 2026 and December 31, 2025 is as follows:</w:t>
      </w:r>
    </w:p>
    <w:p>
      <w:pPr>
        <w:pStyle w:val="TextBody"/>
        <w:bidi w:val="0"/>
        <w:jc w:val="left"/>
        <w:rPr/>
      </w:pPr>
      <w:r>
        <w:rPr/>
        <w:t> </w:t>
      </w:r>
    </w:p>
    <w:tbl>
      <w:tblPr>
        <w:tblW w:w="8190" w:type="dxa"/>
        <w:jc w:val="left"/>
        <w:tblInd w:w="0" w:type="dxa"/>
        <w:tblLayout w:type="fixed"/>
        <w:tblCellMar>
          <w:top w:w="28" w:type="dxa"/>
          <w:left w:w="28" w:type="dxa"/>
          <w:bottom w:w="28" w:type="dxa"/>
          <w:right w:w="28" w:type="dxa"/>
        </w:tblCellMar>
      </w:tblPr>
      <w:tblGrid>
        <w:gridCol w:w="2461"/>
        <w:gridCol w:w="746"/>
        <w:gridCol w:w="245"/>
        <w:gridCol w:w="910"/>
        <w:gridCol w:w="746"/>
        <w:gridCol w:w="746"/>
        <w:gridCol w:w="328"/>
        <w:gridCol w:w="1217"/>
        <w:gridCol w:w="791"/>
      </w:tblGrid>
      <w:tr>
        <w:trPr/>
        <w:tc>
          <w:tcPr>
            <w:tcW w:w="24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Property and equipment, net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China</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45,106</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37,371</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Vietnam</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31,328</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Macedonia</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Hungary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Czech Republic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Ukraine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Morocco</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268,780</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270,614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8" w:name="item_2_managements_discussion_analysis_f"/>
      <w:bookmarkEnd w:id="2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This Quarterly Report on Form 10-Q (this “Report”) contains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expected light vehicle production in the Company’s key markets; the impact of macroeconomic and geopolitical conditions, the components of and our execution of our strategic plan, product and technology development and manufacturing footprint optimization restructuring plans; our operating performance; long-term consumer and technological trends in the automotive industry and our related market opportunity for our existing and new products and technologies; the competitive landscape; the impact of global tax reform legislation and other regulatory matters; the sufficiency of our cash balances and cash generated from operating, investing and financing activities for our future liquidity and capital resource needs; capital allocation strategies; our ability to finance sufficient working capital; and significant matters related to the Modine Transaction, including the expected closing timing and structure thereof, the ability of the parties to complete such transaction and planned actions to satisfy the closing conditions, the expected benefits thereof, the tax consequences thereof and the combined company’s plans, objectives, expectations and intentions, including integration activities. Reference is made in particular to forward-looking statements included in this “Item 2. Management’s Discussion and Analysis of Financial Condition and Results of Operations”. Such statements may be identified by the use of forward-looking terminology such as “may”, “will”, “expect”, “believe”, “estimate”, “anticipate”, “intend”, “continue”, or similar terms, variations of such terms or the negative of such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forward-looking statements included in this Report are made as of the date hereof or as of the date specified herein and are based on management’s reasonable expectations and beliefs. In making these statements we rely on assumptions and analyses based on our experience and perception of historical trends, current conditions and expected future developments, third-party information and projections from sources that management believes to be reputable, as well as other factors we consider appropriate under the circumstances. Such statements are subject to a number of assumptions, risks, uncertainties and other factors, which are set forth in “Item 1A. Risk Factors” and elsewhere in our Annual Report on Form 10-K for the year ended December 31, 2025 and subsequent reports filed with the Securities and Exchange Commission, and which could cause actual results to differ materially from that described in the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with reasonable frequency, we have entered into business combinations, acquisitions, divestitures, strategic investments and other significant transactions. Except as specifically noted for the Modine Transaction, such forward-looking statements do not include the potential impact of any such transactions that may be completed after the date hereof, each of which may present material risks to the Company’s future business and financial results. 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should be read in conjunction with, and is qualified in its entirety by, the consolidated condensed financial statements and related notes thereto included elsewhere in this Report and our consolidated financial statements and related notes included in our Annual Report on Form 10-K for the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Gentherm Incorporated is a global market leader of innovative thermal management and pneumatic comfort technologies. Our automotive products include Climate Control Seats (CCS®), Climate Control Interiors (CCI), Lumbar and Massage Comfort Solutions, Valve Systems, and Climate and Comfort Electronics. We operate in locations aligned with our major customers’ product strategies to provide locally enhanced design, integration and production capabilities. Our medical products include patient temperature management systems that can be found in hospitals throughout the world.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Automotive sales are driven by the number of light vehicles produced by the OEMs primarily in our key markets of North America, Europe, China, Japan and South Korea, which is ultimately dependent on consumer demand for automotive light vehicles, our product content per vehicle, and other factors that may limit or otherwise impact production by us, our supply chain and our customers. Historically, new vehicle demand and product content (i.e. vehicle features) have been driven by macroeconomic and other factors, such as interest rates, automotive manufacturer and dealer sales incentives, fuel prices, consumer confidence, employment levels, income growth trends and government incentives. Vehicle content has also been driven by trends in consumer preferences. We believe our diversified OEM customer base and geographic revenue base, along with our flexible cost structure, have well positioned us to withstand the impact of industry downturns and benefit from industry upturns in the ordinary course. Our industry is increasingly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progressing towards a focus on human comfort, health and wellness, which is evidenced by increasing adoption rates for comfort products. Gentherm is an independent partner that can cooperate with any combination of the vehicle OEMs and seat manufacturers globally, to create innovative and unique configurations that adapt to industry trends.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IME Acquisition</w:t>
      </w:r>
    </w:p>
    <w:p>
      <w:pPr>
        <w:pStyle w:val="TextBody"/>
        <w:bidi w:val="0"/>
        <w:spacing w:before="120" w:after="283"/>
        <w:jc w:val="left"/>
        <w:rPr>
          <w:rFonts w:ascii="Times New Roman" w:hAnsi="Times New Roman"/>
          <w:sz w:val="20"/>
        </w:rPr>
      </w:pPr>
      <w:r>
        <w:rPr>
          <w:rFonts w:ascii="Times New Roman" w:hAnsi="Times New Roman"/>
          <w:color w:val="000000"/>
          <w:sz w:val="20"/>
        </w:rPr>
        <w:t>On July 1, 2026, the Company completed its acquisition of Innovative Medical Equipment, LLC (“IME”). IME, headquartered in Beachwood, Ohio, is a provider of the ThermaZone</w:t>
      </w:r>
      <w:r>
        <w:rPr>
          <w:rFonts w:ascii="Aptos;sans-serif" w:hAnsi="Aptos;sans-serif"/>
          <w:color w:val="000000"/>
          <w:sz w:val="22"/>
        </w:rPr>
        <w:t>®</w:t>
      </w:r>
      <w:r>
        <w:rPr>
          <w:rFonts w:ascii="Times New Roman" w:hAnsi="Times New Roman"/>
          <w:color w:val="000000"/>
          <w:sz w:val="20"/>
        </w:rPr>
        <w:t xml:space="preserve"> thermal therapy device. ThermaZone is a non-opioid thermal therapy solution designed to support pain management and recovery through controlled hot-and-cold therapy. The Company acquired all of the membership interests in IME for $34.0 million, net of cash and debt, and subject to customary adjustments related to IME’s net working capital as of the closing date. The purchase price may be increased after closing by up to $1.0 million upon the achievement of a specified performance milestone. The transaction was funded through a combination of the Company’s existing cash balances and borrowings under the Revolving Credit Facility, as defined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29, 2026, the Company, entered into definitive agreements to combine the Performance Technologies business (“Performance Technologies”) of Modine Manufacturing Company, a Wisconsin corporation (“Modine”), with Gentherm (the “Modine Transaction”). The Modine Transaction is structured as a Reverse Morris Trust transaction, where a wholly owned subsidiary of Modine (“SpinCo”), owning Performance Technologies, will be spun off to Modine shareholders (the “Distribution”) and simultaneously merged with a wholly owned subsidiary of the Company (the “Merger”). The transaction was valued at approximately $1,000.0 million as of the date of signing, based on specified assumptions. Shareholders of the Company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and as a condition of, the Distribution, Modine will receive a cash distribution from SpinCo of $210.0 million subject to adjustment for cash, working capital and indebtedness of SpinCo, and subject to decrease if additional shares of Common Stock will be issued to Modine shareholders to support the intended tax-free treatment of the Distribution to Modine shareholders for U.S. federal income tax purposes (the “SpinCo Cash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expected to close by early fourth quarter of 2026, subject to various closing conditions, including specified approvals by the Company’s shareholders, a customary IRS tax ruling and the satisfaction of other customary closing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contains specified termination rights for the Company and Modine, including a right allowing the Company or Modine to terminate the Merger Agreement if the Merger has not been consummated on or prior to March 31, 2027 (which date may be extended to June 30, 2027 in the event that required regulatory approvals have not been received). Additionally, the Merger Agreement requires the Company to pay Modine a termination fee of $45.0 million if the Merger Agreement is terminated under certain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Merger Agreement, the Company, SpinCo and a financial institution executed a 364-day bridge loan facility commitment letter, pursuant to which such financial institution committed (i) to provide bridge financing of $290.0 million to fund dividends, fees and expenses related to the transactions contemplated by the Merger Agreement (“Bridge Facility”) and (ii) to the Company a backstop of the Company’s credit agreement (“Backstop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the Company amended its credit agreement to permit the Modine Transaction, which terminated the Backstop Commitment. On June 29, 2026, SpinCo replaced the Bridge Facility with permanent financing by entering into a credit agreement, providing for a delayed-draw term loan facility with aggregate commitments of up to $250.0 million (the "Senior Credit Facility"). Borrowings under the Senior Credit Facility are expected to be funded on the closing date of the Modine Transaction and used to fund the SpinCo Cash Distribution and to pay certain other amounts required under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incurred $2.1 million and $5.1 million, respectively, of fees associated with the Bridge Facility, Backstop Commitment and Senior Credit Facility. Such fees are recorded in Selling, general and administrative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Trends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Tariffs and Global Trade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March 2025, the U.S. government has periodically announced additional significant tariffs on various goods imported to the U.S. and other countries have periodically announced reciprocal tariffs on goods imported to such countries, including goods used by or manufactured by us. There has been significant uncertainty resulting from the implementation, termination and/or conditional pause of these additional tariffs. In February 2026, the Supreme Court of the U.S. issued a ruling striking down certain tariffs previously imposed under the International Emergency Economic Powers Act (“IEEPA”). During the second quarter of 2026, we submitted claims for refunds of IEEPA tariffs previously paid. Refunds received through June 30, 2026 were not material. The U.S. presidential administration subsequently invoked additional tariffs under other laws resulting in a rapidly changing tariff environment. At this time we cannot reasonably estimate the total financial impact of this ruling. Further, it is reasonably possible that new or additional tariffs will be periodically announced in the future given the current global trade environment. We continue to monitor and evaluate the direct and indirect impacts of these tariffs and heightened global trade disputes. Our business model of manufacturing by regions for the regions limit the global impact of certain trade restrictions and tariffs. Further, the majority of our supply components are not currently subject to the additional tariffs or are compliant with exceptions, and we believe that we can generally mitigate the direct impact of any such tariffs currently in effect by directly or indirectly passing the additional costs through to customers. We are taking and will continue to take additional actions to mitigate any direct and indirect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the additional tariffs did not have a material impact on our results of operations, financial position, and cash flows.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Global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automotive light vehicle industry is impacted by a number of factors, including global and regional economic conditions. At times in recent years, the global economy has experienced significant volatility, inflationary pressures and supply chain disruptions, which have a widespread adverse effect on the global automotive industry. These macroeconomic conditions have resulted in fluctuating demand and production disruptions, facility closures, labor shortages, work stoppages, and increased prices of inputs to our products. Rising costs of materials, labor, equipment and other inputs used to manufacture and sell our products, including freight and logistics costs, have adversely impacted, and may in the future adversely impact, operating costs and operating results. We continue to employ measures to mitigate the impact of cost increases through identification of sourcing and manufacturing efficiencies where possible, and commercial negotiations with our customers. However, we have been unable to fully mitigate or pass through the increases in our operating costs, which may continue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foreign currency risk due to the translation and remeasurement of the results of certain international operations into U.S. Dollars as part of the consolidation process. Therefore, fluctuations in foreign currency exchange rates can create volatility in the results of operations and may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global manufacturing footprint that enables us to serve our customers in the regions they operate and shift production between regions to remain competitive. There have been various ongoing geopolitical conflicts, such as the current conflicts between Russia and Ukraine and in the Middle East and heightened tensions in the Red Sea and in the South China Sea. These conflicts have interrupted ocean freight shipping and if prolonged or intensified, could have a substantial adverse effect on our financial results. Further, it is reasonably possible that certain political pressures, such as changes to international trade agreements, increases in tariffs, import quotas or other trade restrictions or actions, including export controls and other retaliatory responses to such actions, could continue to affect the operations of our suppliers and OEM customers, resulting in reduced automotive production in certain regions or shifts in the mix of production to higher cost regions. See “—Tariffs and Global Trade Environment” above for further information on the impact of tariffs and the global trade environment. We, like other manufacturers, have a high proportion of fixed structural costs, and therefore relatively small changes in industry vehicle production can have a substantial effect on our financial results.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Light Vehicle Production Volumes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are driven by the number of vehicles produced by the automotive manufacturers, which is ultimately dependent on consumer demand for automotive vehicles, our content per vehicle, and other factors that may limit or otherwise impact production by us, our supply chain and our customers. According to the forecasting firm S&amp;P Global Mobility (July 2026 release), global light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vehicle production in the three and six months ended June 30, 2026, in the Company’s key markets of North America, Europe, China, Japan and South Korea, as compared to the three and six months ended June 30, 2025, are shown below (in millions of units):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5"/>
        <w:gridCol w:w="146"/>
        <w:gridCol w:w="148"/>
        <w:gridCol w:w="474"/>
        <w:gridCol w:w="148"/>
        <w:gridCol w:w="148"/>
        <w:gridCol w:w="148"/>
        <w:gridCol w:w="474"/>
        <w:gridCol w:w="148"/>
        <w:gridCol w:w="148"/>
        <w:gridCol w:w="239"/>
        <w:gridCol w:w="692"/>
        <w:gridCol w:w="331"/>
        <w:gridCol w:w="146"/>
        <w:gridCol w:w="146"/>
        <w:gridCol w:w="466"/>
        <w:gridCol w:w="146"/>
        <w:gridCol w:w="146"/>
        <w:gridCol w:w="146"/>
        <w:gridCol w:w="466"/>
        <w:gridCol w:w="146"/>
        <w:gridCol w:w="146"/>
        <w:gridCol w:w="239"/>
        <w:gridCol w:w="692"/>
        <w:gridCol w:w="581"/>
      </w:tblGrid>
      <w:tr>
        <w:trPr/>
        <w:tc>
          <w:tcPr>
            <w:tcW w:w="3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 / South 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light vehicle production volume in key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S&amp;P Global Mobility (July 2026 release) forecasted light vehicle production volume in the Company’s key markets for full year 2026 to decrease to 75.5 million units, a 2.6% decrease from full year 2025 light vehicle production volumes. Forecasted light vehicle production volumes are a component of the data we use in forecasting future business. However, these forecasts generally are updated monthly, and future forecasts have been and may continue to be significantly different from period to period due to changes in macroeconomic and geopolitical conditions or matters specific to the automotive industry. Further, due to differences in regional product mix at our manufacturing facilities, as well as material production schedules from our customers for our products on specific vehicle programs, our future forecasted results do not directly correlate with the global and/or regional light vehicle production forecasts of S&amp;P Global Mobility or other third-party sources.</w:t>
      </w:r>
    </w:p>
    <w:p>
      <w:pPr>
        <w:pStyle w:val="TextBody"/>
        <w:bidi w:val="0"/>
        <w:spacing w:before="240" w:after="283"/>
        <w:jc w:val="left"/>
        <w:rPr>
          <w:rFonts w:ascii="Times New Roman" w:hAnsi="Times New Roman"/>
          <w:sz w:val="20"/>
        </w:rPr>
      </w:pPr>
      <w:r>
        <w:rPr>
          <w:rFonts w:ascii="Times New Roman" w:hAnsi="Times New Roman"/>
          <w:b/>
          <w:color w:val="000000"/>
          <w:sz w:val="20"/>
        </w:rPr>
        <w:t>New Business Awards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innovation is an important element to gaining market acceptance of our products and strengthening our market position. During the second quarter of 2026, we secured automotive new business awards totaling $690 million. 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automotive new business awards are an indicator of future revenue. Automotive new business awards are not projections of revenue or future business as of June 30, 2026, the date of this Report or any other date. Customer projections regularly change over time, and we do not update our calculation of any automotive new business award after the date initially communicated. Automotive new business awards in the second quarter of 2026 also do not reflect, in particular, the impact of macroeconomic and geopolitical challenges on future business. Revenues resulting from automotive new business awards also are subject to additional risks and uncertainties that are included in this Report or incorporated by reference in “Forward-Looking Statements”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Board of Directors (the “Board”) authorized a stock repurchase program (the “2024 Stock Repurchase Program”) to commence upon expiration of the Company’s prior stock repurchase program on June 30, 2024. Under the 2024 Stock Repurchase Program, the Company was authorized to repurchase up to $150.0 million of its issued and outstanding Common Stock over a three-year period, expiring June 30,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2026, the Board terminated the 2024 Stock Repurchase Program and authorized a new stock repurchase program (the “2026 Stock Repurchase Program”), pursuant to which the Company is authorized to repurchase up to $400.0 million of its issued and outstanding Common Stock over a three-year period, expiring July 27, 2029. At the time of termination, the 2024 Stock Repurchase Program had $110.1 million of share repurchase authorization remaining. </w:t>
      </w:r>
    </w:p>
    <w:p>
      <w:pPr>
        <w:pStyle w:val="TextBody"/>
        <w:bidi w:val="0"/>
        <w:jc w:val="left"/>
        <w:rPr>
          <w:rFonts w:ascii="Times New Roman" w:hAnsi="Times New Roman"/>
          <w:color w:val="000000"/>
          <w:sz w:val="20"/>
        </w:rPr>
      </w:pPr>
      <w:r>
        <w:rPr>
          <w:rFonts w:ascii="Times New Roman" w:hAnsi="Times New Roman"/>
          <w:color w:val="000000"/>
          <w:sz w:val="20"/>
        </w:rPr>
        <w:t xml:space="preserve">Repurchases may be made, from time to time, in amounts and at prices the Company deems appropriate, subject to market conditions, applicable legal requirements, debt covenants and other contractual restrictions and other considerations.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did not repurchase any shares. During the three and six months ended June 30, 2025, the Company repurchased $10.0 million under the 2024 Stock Repurchase Program with an average price paid per share of $26.24.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reportable segments for financial reporting purposes: Automotive and Medical. See Note 15, “Segment Reporting,” to the consolidated condensed financial statements included in this Report for a description of our reportable segments as well as their proportional contribution to the Company’s reported product revenues, significant segment expenses, operating income, and depreciation and amortization. </w:t>
      </w:r>
    </w:p>
    <w:p>
      <w:pPr>
        <w:pStyle w:val="TextBody"/>
        <w:bidi w:val="0"/>
        <w:spacing w:before="240" w:after="283"/>
        <w:jc w:val="left"/>
        <w:rPr>
          <w:rFonts w:ascii="Times New Roman" w:hAnsi="Times New Roman"/>
          <w:sz w:val="20"/>
        </w:rPr>
      </w:pPr>
      <w:r>
        <w:rPr>
          <w:rFonts w:ascii="Times New Roman" w:hAnsi="Times New Roman"/>
          <w:b/>
          <w:i/>
          <w:color w:val="000000"/>
          <w:sz w:val="20"/>
        </w:rPr>
        <w:t>Consolidated 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results of operations for the three and six months ended June 30, 2026 and 2025, in thousands, were as follows:</w:t>
      </w:r>
    </w:p>
    <w:tbl>
      <w:tblPr>
        <w:tblW w:w="10205" w:type="dxa"/>
        <w:jc w:val="left"/>
        <w:tblInd w:w="0" w:type="dxa"/>
        <w:tblLayout w:type="fixed"/>
        <w:tblCellMar>
          <w:top w:w="28" w:type="dxa"/>
          <w:left w:w="28" w:type="dxa"/>
          <w:bottom w:w="28" w:type="dxa"/>
          <w:right w:w="28" w:type="dxa"/>
        </w:tblCellMar>
      </w:tblPr>
      <w:tblGrid>
        <w:gridCol w:w="1659"/>
        <w:gridCol w:w="146"/>
        <w:gridCol w:w="211"/>
        <w:gridCol w:w="781"/>
        <w:gridCol w:w="166"/>
        <w:gridCol w:w="146"/>
        <w:gridCol w:w="211"/>
        <w:gridCol w:w="781"/>
        <w:gridCol w:w="166"/>
        <w:gridCol w:w="146"/>
        <w:gridCol w:w="250"/>
        <w:gridCol w:w="879"/>
        <w:gridCol w:w="166"/>
        <w:gridCol w:w="146"/>
        <w:gridCol w:w="211"/>
        <w:gridCol w:w="781"/>
        <w:gridCol w:w="166"/>
        <w:gridCol w:w="146"/>
        <w:gridCol w:w="211"/>
        <w:gridCol w:w="781"/>
        <w:gridCol w:w="166"/>
        <w:gridCol w:w="146"/>
        <w:gridCol w:w="250"/>
        <w:gridCol w:w="879"/>
        <w:gridCol w:w="614"/>
      </w:tblGrid>
      <w:tr>
        <w:trPr/>
        <w:tc>
          <w:tcPr>
            <w:tcW w:w="1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80,928</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Product revenues by product category, in thousands, for the three and six months ended June 30, 2026 and 2025, were as follows:</w:t>
      </w:r>
    </w:p>
    <w:tbl>
      <w:tblPr>
        <w:tblW w:w="10933" w:type="dxa"/>
        <w:jc w:val="left"/>
        <w:tblInd w:w="0" w:type="dxa"/>
        <w:tblLayout w:type="fixed"/>
        <w:tblCellMar>
          <w:top w:w="28" w:type="dxa"/>
          <w:left w:w="28" w:type="dxa"/>
          <w:bottom w:w="28" w:type="dxa"/>
          <w:right w:w="28" w:type="dxa"/>
        </w:tblCellMar>
      </w:tblPr>
      <w:tblGrid>
        <w:gridCol w:w="1496"/>
        <w:gridCol w:w="346"/>
        <w:gridCol w:w="211"/>
        <w:gridCol w:w="781"/>
        <w:gridCol w:w="146"/>
        <w:gridCol w:w="211"/>
        <w:gridCol w:w="781"/>
        <w:gridCol w:w="146"/>
        <w:gridCol w:w="211"/>
        <w:gridCol w:w="841"/>
        <w:gridCol w:w="146"/>
        <w:gridCol w:w="931"/>
        <w:gridCol w:w="146"/>
        <w:gridCol w:w="211"/>
        <w:gridCol w:w="781"/>
        <w:gridCol w:w="146"/>
        <w:gridCol w:w="211"/>
        <w:gridCol w:w="781"/>
        <w:gridCol w:w="146"/>
        <w:gridCol w:w="211"/>
        <w:gridCol w:w="841"/>
        <w:gridCol w:w="146"/>
        <w:gridCol w:w="1066"/>
      </w:tblGrid>
      <w:tr>
        <w:trPr/>
        <w:tc>
          <w:tcPr>
            <w:tcW w:w="1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Seats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Lumbar and Massage Comfort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Control Interiors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Climate and Comfort Electronics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31.5 %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Automotive Climate and Comfort Solutions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13.8 %</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Valve Systems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Automotive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(7.8)%</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 Automotive segment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11.5 %</w:t>
            </w:r>
          </w:p>
        </w:tc>
      </w:tr>
      <w:tr>
        <w:trPr/>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segment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(1.4)%</w:t>
            </w:r>
          </w:p>
        </w:tc>
      </w:tr>
      <w:tr>
        <w:trPr/>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Company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Product Revenues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product revenues, in thousands, for the three months ended June 30, 2026 and 2025:</w:t>
      </w:r>
    </w:p>
    <w:tbl>
      <w:tblPr>
        <w:tblW w:w="9752" w:type="dxa"/>
        <w:jc w:val="left"/>
        <w:tblInd w:w="0" w:type="dxa"/>
        <w:tblLayout w:type="fixed"/>
        <w:tblCellMar>
          <w:top w:w="28" w:type="dxa"/>
          <w:left w:w="28" w:type="dxa"/>
          <w:bottom w:w="28" w:type="dxa"/>
          <w:right w:w="28" w:type="dxa"/>
        </w:tblCellMar>
      </w:tblPr>
      <w:tblGrid>
        <w:gridCol w:w="1351"/>
        <w:gridCol w:w="146"/>
        <w:gridCol w:w="196"/>
        <w:gridCol w:w="691"/>
        <w:gridCol w:w="146"/>
        <w:gridCol w:w="146"/>
        <w:gridCol w:w="196"/>
        <w:gridCol w:w="691"/>
        <w:gridCol w:w="146"/>
        <w:gridCol w:w="146"/>
        <w:gridCol w:w="279"/>
        <w:gridCol w:w="861"/>
        <w:gridCol w:w="146"/>
        <w:gridCol w:w="146"/>
        <w:gridCol w:w="146"/>
        <w:gridCol w:w="236"/>
        <w:gridCol w:w="725"/>
        <w:gridCol w:w="146"/>
        <w:gridCol w:w="146"/>
        <w:gridCol w:w="196"/>
        <w:gridCol w:w="511"/>
        <w:gridCol w:w="146"/>
        <w:gridCol w:w="146"/>
        <w:gridCol w:w="196"/>
        <w:gridCol w:w="571"/>
        <w:gridCol w:w="166"/>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Pricing / </w:t>
              <w:b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for the three months ended June 30, 2026 increased 11.0% as compared to the three months ended June 30, 2025. The increase in product revenues is due to favorable automotive volumes and favorable foreign currency impacts primarily attributable to the Chinese Renminbi and the Euro, partially offset by unfavorable pricing and unfavorable currency impacts primarily attributable to the Korean Won.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product revenues, in thousands, for the six months ended June 30, 2026 and 2025:</w:t>
      </w:r>
    </w:p>
    <w:tbl>
      <w:tblPr>
        <w:tblW w:w="9842" w:type="dxa"/>
        <w:jc w:val="left"/>
        <w:tblInd w:w="0" w:type="dxa"/>
        <w:tblLayout w:type="fixed"/>
        <w:tblCellMar>
          <w:top w:w="28" w:type="dxa"/>
          <w:left w:w="28" w:type="dxa"/>
          <w:bottom w:w="28" w:type="dxa"/>
          <w:right w:w="28" w:type="dxa"/>
        </w:tblCellMar>
      </w:tblPr>
      <w:tblGrid>
        <w:gridCol w:w="1351"/>
        <w:gridCol w:w="146"/>
        <w:gridCol w:w="196"/>
        <w:gridCol w:w="691"/>
        <w:gridCol w:w="146"/>
        <w:gridCol w:w="146"/>
        <w:gridCol w:w="196"/>
        <w:gridCol w:w="691"/>
        <w:gridCol w:w="146"/>
        <w:gridCol w:w="146"/>
        <w:gridCol w:w="279"/>
        <w:gridCol w:w="861"/>
        <w:gridCol w:w="146"/>
        <w:gridCol w:w="146"/>
        <w:gridCol w:w="146"/>
        <w:gridCol w:w="236"/>
        <w:gridCol w:w="725"/>
        <w:gridCol w:w="146"/>
        <w:gridCol w:w="146"/>
        <w:gridCol w:w="196"/>
        <w:gridCol w:w="601"/>
        <w:gridCol w:w="146"/>
        <w:gridCol w:w="146"/>
        <w:gridCol w:w="196"/>
        <w:gridCol w:w="571"/>
        <w:gridCol w:w="166"/>
        <w:gridCol w:w="146"/>
        <w:gridCol w:w="196"/>
        <w:gridCol w:w="60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Pricing / </w:t>
              <w:b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revenues for the six months ended June 30, 2026 increased 11.1% as compared to the six months ended June 30, 2025. The increase in product revenues is due to favorable automotive volumes and favorable foreign currency impacts primarily attributable to the Euro and the Chinese Renminbi, partially offset by unfavorable pricing and unfavorable currency impacts primarily attributable to the Korean Won.</w:t>
      </w:r>
    </w:p>
    <w:p>
      <w:pPr>
        <w:pStyle w:val="TextBody"/>
        <w:bidi w:val="0"/>
        <w:spacing w:before="240" w:after="283"/>
        <w:jc w:val="left"/>
        <w:rPr>
          <w:rFonts w:ascii="Times New Roman" w:hAnsi="Times New Roman"/>
          <w:sz w:val="20"/>
        </w:rPr>
      </w:pPr>
      <w:r>
        <w:rPr>
          <w:rFonts w:ascii="Times New Roman" w:hAnsi="Times New Roman"/>
          <w:b/>
          <w:color w:val="000000"/>
          <w:sz w:val="20"/>
        </w:rPr>
        <w:t>Cost of Sales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cost of sales and gross margin, in thousands, for the three months ended June 30, 2026 and 2025:</w:t>
      </w:r>
    </w:p>
    <w:tbl>
      <w:tblPr>
        <w:tblW w:w="11186" w:type="dxa"/>
        <w:jc w:val="left"/>
        <w:tblInd w:w="0" w:type="dxa"/>
        <w:tblLayout w:type="fixed"/>
        <w:tblCellMar>
          <w:top w:w="28" w:type="dxa"/>
          <w:left w:w="28" w:type="dxa"/>
          <w:bottom w:w="28" w:type="dxa"/>
          <w:right w:w="28" w:type="dxa"/>
        </w:tblCellMar>
      </w:tblPr>
      <w:tblGrid>
        <w:gridCol w:w="991"/>
        <w:gridCol w:w="146"/>
        <w:gridCol w:w="196"/>
        <w:gridCol w:w="691"/>
        <w:gridCol w:w="256"/>
        <w:gridCol w:w="146"/>
        <w:gridCol w:w="196"/>
        <w:gridCol w:w="691"/>
        <w:gridCol w:w="256"/>
        <w:gridCol w:w="146"/>
        <w:gridCol w:w="247"/>
        <w:gridCol w:w="834"/>
        <w:gridCol w:w="166"/>
        <w:gridCol w:w="146"/>
        <w:gridCol w:w="146"/>
        <w:gridCol w:w="219"/>
        <w:gridCol w:w="742"/>
        <w:gridCol w:w="166"/>
        <w:gridCol w:w="146"/>
        <w:gridCol w:w="291"/>
        <w:gridCol w:w="760"/>
        <w:gridCol w:w="146"/>
        <w:gridCol w:w="146"/>
        <w:gridCol w:w="196"/>
        <w:gridCol w:w="571"/>
        <w:gridCol w:w="166"/>
        <w:gridCol w:w="146"/>
        <w:gridCol w:w="196"/>
        <w:gridCol w:w="661"/>
        <w:gridCol w:w="166"/>
        <w:gridCol w:w="146"/>
        <w:gridCol w:w="196"/>
        <w:gridCol w:w="661"/>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Operational</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Gross margin - Percentage </w:t>
              <w:br/>
              <w:t>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sales for the three months ended June 30, 2026 increased 12.1% as compared to the three months ended June 30, 2025. The increase in cost of sales is primarily due to higher automotive volumes, unfavorable foreign currency impacts primarily attributable to the Chinese Renminbi, Mexican Peso, Czech Koruna and the Euro, specific-cause warranty provisions related to products shipped in prior periods and higher labor costs, partially offset by material purchasing savings.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cost of sales and gross margin, in thousands, for the six months ended June 30, 2026 and 2025:</w:t>
      </w:r>
    </w:p>
    <w:tbl>
      <w:tblPr>
        <w:tblW w:w="11276" w:type="dxa"/>
        <w:jc w:val="left"/>
        <w:tblInd w:w="0" w:type="dxa"/>
        <w:tblLayout w:type="fixed"/>
        <w:tblCellMar>
          <w:top w:w="28" w:type="dxa"/>
          <w:left w:w="28" w:type="dxa"/>
          <w:bottom w:w="28" w:type="dxa"/>
          <w:right w:w="28" w:type="dxa"/>
        </w:tblCellMar>
      </w:tblPr>
      <w:tblGrid>
        <w:gridCol w:w="991"/>
        <w:gridCol w:w="146"/>
        <w:gridCol w:w="196"/>
        <w:gridCol w:w="691"/>
        <w:gridCol w:w="256"/>
        <w:gridCol w:w="146"/>
        <w:gridCol w:w="196"/>
        <w:gridCol w:w="691"/>
        <w:gridCol w:w="256"/>
        <w:gridCol w:w="146"/>
        <w:gridCol w:w="247"/>
        <w:gridCol w:w="834"/>
        <w:gridCol w:w="166"/>
        <w:gridCol w:w="146"/>
        <w:gridCol w:w="146"/>
        <w:gridCol w:w="219"/>
        <w:gridCol w:w="742"/>
        <w:gridCol w:w="166"/>
        <w:gridCol w:w="146"/>
        <w:gridCol w:w="258"/>
        <w:gridCol w:w="793"/>
        <w:gridCol w:w="146"/>
        <w:gridCol w:w="146"/>
        <w:gridCol w:w="196"/>
        <w:gridCol w:w="661"/>
        <w:gridCol w:w="166"/>
        <w:gridCol w:w="146"/>
        <w:gridCol w:w="196"/>
        <w:gridCol w:w="661"/>
        <w:gridCol w:w="166"/>
        <w:gridCol w:w="146"/>
        <w:gridCol w:w="196"/>
        <w:gridCol w:w="661"/>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 Due To: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Favorable / </w:t>
              <w:br/>
              <w:t>(Unfavorable)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Automotive</w:t>
              <w:br/>
              <w:t> Volume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Operational</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Gross margin - Percentage </w:t>
              <w:br/>
              <w:t>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sales for the six months ended June 30, 2026 increased 11.5% as compared to the six months ended June 30, 2025. The increase in cost of sales is primarily due to higher automotive volumes, unfavorable foreign currency impacts primarily attributable to the Mexican Peso, Euro, Chinese Renminbi and the Czech Koruna, specific-cause warranty provisions related to products shipped in prior periods and higher labor costs, partially offset by material purchasing savings.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Net 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net research and development expenses, in thousands, for the three months ended June 30, 2026 and 2025:</w:t>
      </w:r>
    </w:p>
    <w:tbl>
      <w:tblPr>
        <w:tblW w:w="8386" w:type="dxa"/>
        <w:jc w:val="left"/>
        <w:tblInd w:w="0" w:type="dxa"/>
        <w:tblLayout w:type="fixed"/>
        <w:tblCellMar>
          <w:top w:w="28" w:type="dxa"/>
          <w:left w:w="28" w:type="dxa"/>
          <w:bottom w:w="28" w:type="dxa"/>
          <w:right w:w="28" w:type="dxa"/>
        </w:tblCellMar>
      </w:tblPr>
      <w:tblGrid>
        <w:gridCol w:w="4036"/>
        <w:gridCol w:w="146"/>
        <w:gridCol w:w="211"/>
        <w:gridCol w:w="676"/>
        <w:gridCol w:w="271"/>
        <w:gridCol w:w="146"/>
        <w:gridCol w:w="211"/>
        <w:gridCol w:w="676"/>
        <w:gridCol w:w="271"/>
        <w:gridCol w:w="146"/>
        <w:gridCol w:w="297"/>
        <w:gridCol w:w="888"/>
        <w:gridCol w:w="41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research and development expenses for the three months ended June 30, 2026 increased 6.7% as compared to the three months ended June 30, 2025. The increase in net research and development expenses is primarily related to unfavorable foreign currency impacts primarily attributable to the Chinese Renminbi and the Euro and lower customer reimbursements.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net research and development expenses, in thousands, for the six months ended June 30, 2026 and 2025:</w:t>
      </w:r>
    </w:p>
    <w:tbl>
      <w:tblPr>
        <w:tblW w:w="8486" w:type="dxa"/>
        <w:jc w:val="left"/>
        <w:tblInd w:w="0" w:type="dxa"/>
        <w:tblLayout w:type="fixed"/>
        <w:tblCellMar>
          <w:top w:w="28" w:type="dxa"/>
          <w:left w:w="28" w:type="dxa"/>
          <w:bottom w:w="28" w:type="dxa"/>
          <w:right w:w="28" w:type="dxa"/>
        </w:tblCellMar>
      </w:tblPr>
      <w:tblGrid>
        <w:gridCol w:w="4036"/>
        <w:gridCol w:w="146"/>
        <w:gridCol w:w="211"/>
        <w:gridCol w:w="736"/>
        <w:gridCol w:w="271"/>
        <w:gridCol w:w="146"/>
        <w:gridCol w:w="211"/>
        <w:gridCol w:w="736"/>
        <w:gridCol w:w="271"/>
        <w:gridCol w:w="146"/>
        <w:gridCol w:w="297"/>
        <w:gridCol w:w="888"/>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research and development expenses for the six months ended June 30, 2026 increased 2.7% as compared to the six months ended June 30, 2025. The increase in net research and development expenses is primarily related to unfavorable foreign currency impacts primarily attributable to the Euro and the Chinese Renminbi.</w:t>
      </w:r>
    </w:p>
    <w:p>
      <w:pPr>
        <w:pStyle w:val="TextBody"/>
        <w:bidi w:val="0"/>
        <w:spacing w:before="240" w:after="283"/>
        <w:jc w:val="left"/>
        <w:rPr>
          <w:rFonts w:ascii="Times New Roman" w:hAnsi="Times New Roman"/>
          <w:sz w:val="20"/>
        </w:rPr>
      </w:pPr>
      <w:r>
        <w:rPr>
          <w:rFonts w:ascii="Times New Roman" w:hAnsi="Times New Roman"/>
          <w:b/>
          <w:color w:val="000000"/>
          <w:sz w:val="20"/>
        </w:rPr>
        <w:t>Selling, General and Administrative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selling, general and administrative expenses, in thousands, for the three months ended June 30, 2026 and 2025:</w:t>
      </w:r>
    </w:p>
    <w:tbl>
      <w:tblPr>
        <w:tblW w:w="7886" w:type="dxa"/>
        <w:jc w:val="left"/>
        <w:tblInd w:w="0" w:type="dxa"/>
        <w:tblLayout w:type="fixed"/>
        <w:tblCellMar>
          <w:top w:w="28" w:type="dxa"/>
          <w:left w:w="28" w:type="dxa"/>
          <w:bottom w:w="28" w:type="dxa"/>
          <w:right w:w="28" w:type="dxa"/>
        </w:tblCellMar>
      </w:tblPr>
      <w:tblGrid>
        <w:gridCol w:w="3736"/>
        <w:gridCol w:w="146"/>
        <w:gridCol w:w="211"/>
        <w:gridCol w:w="676"/>
        <w:gridCol w:w="271"/>
        <w:gridCol w:w="146"/>
        <w:gridCol w:w="211"/>
        <w:gridCol w:w="676"/>
        <w:gridCol w:w="271"/>
        <w:gridCol w:w="146"/>
        <w:gridCol w:w="263"/>
        <w:gridCol w:w="922"/>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for the three months ended June 30, 2026 increased 35.6% as compared to the three months ended June 30, 2025. Merger and acquisition expenses, primarily related to the Modine Transaction, were $12.9 million for the three months ended June 30, 2026. The remaining increase in selling, general and administrative expenses is primarily related to higher expenses for information technology and unfavorable foreign currency impacts primarily attributable to the Mexican Peso, Euro and the Chinese Renminbi.</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selling, general and administrative expenses, in thousands, for the six months ended June 30, 2026 and 2025:</w:t>
      </w:r>
    </w:p>
    <w:tbl>
      <w:tblPr>
        <w:tblW w:w="7991"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676"/>
        <w:gridCol w:w="271"/>
        <w:gridCol w:w="146"/>
        <w:gridCol w:w="263"/>
        <w:gridCol w:w="922"/>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111,010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for the six months ended June 30, 2026 increased 39.5% as compared to the six months ended June 30, 2025. Merger and acquisition expenses, primarily related to the Modine Transaction, were $27.7 million for the six months ended June 30, 2026. The remaining increase in selling, general and administrative expenses is primarily related to higher expenses for information technology and utilities and unfavorable foreign currency impacts primarily attributable to the Mexican Peso, Euro and the Chinese Renminbi.</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Restructuring Expenses,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restructuring expenses, net, in thousands, for the three months ended June 30, 2026 and 2025:</w:t>
      </w:r>
    </w:p>
    <w:tbl>
      <w:tblPr>
        <w:tblW w:w="6046" w:type="dxa"/>
        <w:jc w:val="left"/>
        <w:tblInd w:w="0" w:type="dxa"/>
        <w:tblLayout w:type="fixed"/>
        <w:tblCellMar>
          <w:top w:w="28" w:type="dxa"/>
          <w:left w:w="28" w:type="dxa"/>
          <w:bottom w:w="28" w:type="dxa"/>
          <w:right w:w="28" w:type="dxa"/>
        </w:tblCellMar>
      </w:tblPr>
      <w:tblGrid>
        <w:gridCol w:w="2356"/>
        <w:gridCol w:w="146"/>
        <w:gridCol w:w="211"/>
        <w:gridCol w:w="571"/>
        <w:gridCol w:w="146"/>
        <w:gridCol w:w="146"/>
        <w:gridCol w:w="211"/>
        <w:gridCol w:w="571"/>
        <w:gridCol w:w="146"/>
        <w:gridCol w:w="146"/>
        <w:gridCol w:w="297"/>
        <w:gridCol w:w="888"/>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 recognized expenses of $4.4 million for employee separation costs and $1.6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2025, the Company recognized expenses of $1.5 million for employee separation costs and $0.7 million for other costs.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restructuring expenses, net, in thousands, for the six months ended June 30, 2026 and 2025:</w:t>
      </w:r>
    </w:p>
    <w:tbl>
      <w:tblPr>
        <w:tblW w:w="6151" w:type="dxa"/>
        <w:jc w:val="left"/>
        <w:tblInd w:w="0" w:type="dxa"/>
        <w:tblLayout w:type="fixed"/>
        <w:tblCellMar>
          <w:top w:w="28" w:type="dxa"/>
          <w:left w:w="28" w:type="dxa"/>
          <w:bottom w:w="28" w:type="dxa"/>
          <w:right w:w="28" w:type="dxa"/>
        </w:tblCellMar>
      </w:tblPr>
      <w:tblGrid>
        <w:gridCol w:w="2356"/>
        <w:gridCol w:w="146"/>
        <w:gridCol w:w="211"/>
        <w:gridCol w:w="676"/>
        <w:gridCol w:w="146"/>
        <w:gridCol w:w="146"/>
        <w:gridCol w:w="211"/>
        <w:gridCol w:w="571"/>
        <w:gridCol w:w="146"/>
        <w:gridCol w:w="146"/>
        <w:gridCol w:w="297"/>
        <w:gridCol w:w="888"/>
        <w:gridCol w:w="2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recognized expenses of $9.9 million for employee separation costs and $2.8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recognized expenses of $5.7 million for employee separation costs and $1.0 million for other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3, “Restructuring,” to the consolidated condensed financial statements included in this Report for additional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Loss on Sale of Land and Building,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loss on sale of land and building, net, in thousands, for the six months ended June 30, 2026 and 2025:</w:t>
      </w:r>
    </w:p>
    <w:tbl>
      <w:tblPr>
        <w:tblW w:w="6611" w:type="dxa"/>
        <w:jc w:val="left"/>
        <w:tblInd w:w="0" w:type="dxa"/>
        <w:tblLayout w:type="fixed"/>
        <w:tblCellMar>
          <w:top w:w="28" w:type="dxa"/>
          <w:left w:w="28" w:type="dxa"/>
          <w:bottom w:w="28" w:type="dxa"/>
          <w:right w:w="28" w:type="dxa"/>
        </w:tblCellMar>
      </w:tblPr>
      <w:tblGrid>
        <w:gridCol w:w="3166"/>
        <w:gridCol w:w="146"/>
        <w:gridCol w:w="211"/>
        <w:gridCol w:w="346"/>
        <w:gridCol w:w="146"/>
        <w:gridCol w:w="146"/>
        <w:gridCol w:w="211"/>
        <w:gridCol w:w="571"/>
        <w:gridCol w:w="146"/>
        <w:gridCol w:w="146"/>
        <w:gridCol w:w="319"/>
        <w:gridCol w:w="86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land and building,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sale of land and building, net for the six months ended June 30, 2025 is primarily related to the sale of our former headquarters building in Northville, Michigan in January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Expense,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interest expense, net, in thousands, for the three months ended June 30, 2026 and 2025:</w:t>
      </w:r>
    </w:p>
    <w:tbl>
      <w:tblPr>
        <w:tblW w:w="5601" w:type="dxa"/>
        <w:jc w:val="left"/>
        <w:tblInd w:w="0" w:type="dxa"/>
        <w:tblLayout w:type="fixed"/>
        <w:tblCellMar>
          <w:top w:w="28" w:type="dxa"/>
          <w:left w:w="28" w:type="dxa"/>
          <w:bottom w:w="28" w:type="dxa"/>
          <w:right w:w="28" w:type="dxa"/>
        </w:tblCellMar>
      </w:tblPr>
      <w:tblGrid>
        <w:gridCol w:w="1771"/>
        <w:gridCol w:w="146"/>
        <w:gridCol w:w="211"/>
        <w:gridCol w:w="631"/>
        <w:gridCol w:w="166"/>
        <w:gridCol w:w="146"/>
        <w:gridCol w:w="211"/>
        <w:gridCol w:w="631"/>
        <w:gridCol w:w="166"/>
        <w:gridCol w:w="146"/>
        <w:gridCol w:w="394"/>
        <w:gridCol w:w="79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net for the three months ended June 30, 2026 decreased 18.6% as compared to the three months ended June 30, 2025. The decrease in interest expense, net is primarily related to a lower interest rate on the Revolving Credit Facility during the three-month period and the impact of a change in fair value of interest rate swap in the prior year period.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interest expense, net, in thousands, for the six months ended June 30, 2026 and 2025:</w:t>
      </w:r>
    </w:p>
    <w:tbl>
      <w:tblPr>
        <w:tblW w:w="5601" w:type="dxa"/>
        <w:jc w:val="left"/>
        <w:tblInd w:w="0" w:type="dxa"/>
        <w:tblLayout w:type="fixed"/>
        <w:tblCellMar>
          <w:top w:w="28" w:type="dxa"/>
          <w:left w:w="28" w:type="dxa"/>
          <w:bottom w:w="28" w:type="dxa"/>
          <w:right w:w="28" w:type="dxa"/>
        </w:tblCellMar>
      </w:tblPr>
      <w:tblGrid>
        <w:gridCol w:w="1771"/>
        <w:gridCol w:w="146"/>
        <w:gridCol w:w="211"/>
        <w:gridCol w:w="631"/>
        <w:gridCol w:w="166"/>
        <w:gridCol w:w="146"/>
        <w:gridCol w:w="211"/>
        <w:gridCol w:w="631"/>
        <w:gridCol w:w="166"/>
        <w:gridCol w:w="146"/>
        <w:gridCol w:w="319"/>
        <w:gridCol w:w="86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net for the six months ended June 30, 2026 decreased 22.0% as compared to the six months ended June 30, 2025. The decrease in interest expense, net is primarily related to a lower interest rate on the Revolving Credit Facility during the six-month period and the impact of a change in fair value of interest rate swap in the prior year period.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foreign currency loss, in thousands, for the three months ended June 30, 2026 and 2025:</w:t>
      </w:r>
    </w:p>
    <w:tbl>
      <w:tblPr>
        <w:tblW w:w="5646" w:type="dxa"/>
        <w:jc w:val="left"/>
        <w:tblInd w:w="0" w:type="dxa"/>
        <w:tblLayout w:type="fixed"/>
        <w:tblCellMar>
          <w:top w:w="28" w:type="dxa"/>
          <w:left w:w="28" w:type="dxa"/>
          <w:bottom w:w="28" w:type="dxa"/>
          <w:right w:w="28" w:type="dxa"/>
        </w:tblCellMar>
      </w:tblPr>
      <w:tblGrid>
        <w:gridCol w:w="1861"/>
        <w:gridCol w:w="146"/>
        <w:gridCol w:w="211"/>
        <w:gridCol w:w="481"/>
        <w:gridCol w:w="166"/>
        <w:gridCol w:w="146"/>
        <w:gridCol w:w="211"/>
        <w:gridCol w:w="736"/>
        <w:gridCol w:w="166"/>
        <w:gridCol w:w="146"/>
        <w:gridCol w:w="281"/>
        <w:gridCol w:w="90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loss for the three months ended June 30, 2026 included net realized foreign currency loss of $0.8 million and net unrealized foreign currency gain of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loss for the three months ended June 30, 2025 included net realized foreign currency gain of $1.4 million and net unrealized foreign currency loss of $18.9 million. The unrealized foreign currency loss is primarily related to a non-current intercompany U.S. dollar receivable at one of our foreign subsidiaries.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foreign currency loss, in thousands, for the six months ended June 30, 2026 and 2025:</w:t>
      </w:r>
    </w:p>
    <w:tbl>
      <w:tblPr>
        <w:tblW w:w="5796" w:type="dxa"/>
        <w:jc w:val="left"/>
        <w:tblInd w:w="0" w:type="dxa"/>
        <w:tblLayout w:type="fixed"/>
        <w:tblCellMar>
          <w:top w:w="28" w:type="dxa"/>
          <w:left w:w="28" w:type="dxa"/>
          <w:bottom w:w="28" w:type="dxa"/>
          <w:right w:w="28" w:type="dxa"/>
        </w:tblCellMar>
      </w:tblPr>
      <w:tblGrid>
        <w:gridCol w:w="1861"/>
        <w:gridCol w:w="146"/>
        <w:gridCol w:w="211"/>
        <w:gridCol w:w="631"/>
        <w:gridCol w:w="166"/>
        <w:gridCol w:w="146"/>
        <w:gridCol w:w="211"/>
        <w:gridCol w:w="736"/>
        <w:gridCol w:w="166"/>
        <w:gridCol w:w="146"/>
        <w:gridCol w:w="281"/>
        <w:gridCol w:w="90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currency loss for the six months ended June 30, 2026 included net realized foreign currency loss of $1.1 million and net unrealized foreign currency loss of $0.2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loss for the six months ended June 30, 2025 included net realized foreign currency gain of $0.7 million and net unrealized foreign currency loss of $28.5 million. The unrealized foreign currency loss is primarily related to a non-current intercompany U.S. dollar receivable at one of our foreign subsidiaries.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other income, in thousands, for the three months ended June 30, 2026 and 2025:</w:t>
      </w:r>
    </w:p>
    <w:tbl>
      <w:tblPr>
        <w:tblW w:w="4537" w:type="dxa"/>
        <w:jc w:val="left"/>
        <w:tblInd w:w="0" w:type="dxa"/>
        <w:tblLayout w:type="fixed"/>
        <w:tblCellMar>
          <w:top w:w="28" w:type="dxa"/>
          <w:left w:w="28" w:type="dxa"/>
          <w:bottom w:w="28" w:type="dxa"/>
          <w:right w:w="28" w:type="dxa"/>
        </w:tblCellMar>
      </w:tblPr>
      <w:tblGrid>
        <w:gridCol w:w="1216"/>
        <w:gridCol w:w="146"/>
        <w:gridCol w:w="214"/>
        <w:gridCol w:w="428"/>
        <w:gridCol w:w="148"/>
        <w:gridCol w:w="148"/>
        <w:gridCol w:w="214"/>
        <w:gridCol w:w="351"/>
        <w:gridCol w:w="148"/>
        <w:gridCol w:w="148"/>
        <w:gridCol w:w="394"/>
        <w:gridCol w:w="791"/>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for the three months ended June 30, 2026 increased as compared to other income for the three months ended June 30, 2025, due to income from an equity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Below is a summary of our other income (loss), in thousands, for the six months ended June 30, 2026 and 2025:</w:t>
      </w:r>
    </w:p>
    <w:tbl>
      <w:tblPr>
        <w:tblW w:w="5296" w:type="dxa"/>
        <w:jc w:val="left"/>
        <w:tblInd w:w="0" w:type="dxa"/>
        <w:tblLayout w:type="fixed"/>
        <w:tblCellMar>
          <w:top w:w="28" w:type="dxa"/>
          <w:left w:w="28" w:type="dxa"/>
          <w:bottom w:w="28" w:type="dxa"/>
          <w:right w:w="28" w:type="dxa"/>
        </w:tblCellMar>
      </w:tblPr>
      <w:tblGrid>
        <w:gridCol w:w="1696"/>
        <w:gridCol w:w="146"/>
        <w:gridCol w:w="211"/>
        <w:gridCol w:w="421"/>
        <w:gridCol w:w="146"/>
        <w:gridCol w:w="146"/>
        <w:gridCol w:w="211"/>
        <w:gridCol w:w="631"/>
        <w:gridCol w:w="166"/>
        <w:gridCol w:w="146"/>
        <w:gridCol w:w="319"/>
        <w:gridCol w:w="86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for the six months ended June 30, 2026 increased as compared to other loss for the six months ended June 30, 2025, primarily due to a fair value adjustment of an equity investment in the prior year period.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our income tax expense, in thousands, for the three months ended June 30, 2026 and 2025:</w:t>
      </w:r>
    </w:p>
    <w:p>
      <w:pPr>
        <w:pStyle w:val="TextBody"/>
        <w:bidi w:val="0"/>
        <w:jc w:val="left"/>
        <w:rPr/>
      </w:pPr>
      <w:r>
        <w:rPr/>
        <w:t> </w:t>
      </w:r>
    </w:p>
    <w:tbl>
      <w:tblPr>
        <w:tblW w:w="5416" w:type="dxa"/>
        <w:jc w:val="left"/>
        <w:tblInd w:w="0" w:type="dxa"/>
        <w:tblLayout w:type="fixed"/>
        <w:tblCellMar>
          <w:top w:w="28" w:type="dxa"/>
          <w:left w:w="28" w:type="dxa"/>
          <w:bottom w:w="28" w:type="dxa"/>
          <w:right w:w="28" w:type="dxa"/>
        </w:tblCellMar>
      </w:tblPr>
      <w:tblGrid>
        <w:gridCol w:w="1726"/>
        <w:gridCol w:w="146"/>
        <w:gridCol w:w="211"/>
        <w:gridCol w:w="571"/>
        <w:gridCol w:w="146"/>
        <w:gridCol w:w="146"/>
        <w:gridCol w:w="211"/>
        <w:gridCol w:w="571"/>
        <w:gridCol w:w="146"/>
        <w:gridCol w:w="146"/>
        <w:gridCol w:w="361"/>
        <w:gridCol w:w="824"/>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$2.9 million for the three months ended June 30, 2026 on earnings before income tax of $7.3 million, representing an effective tax rate of 39.7%.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$2.1 million for the three months ended June 30, 2025 on earnings before income tax of $2.5 million, representing an effective tax rate of 81.2%. The effective tax rate differed from the U.S. Federal statutory rate of 21.0% primarily due to the impact of income taxes on foreign earnings taxed at rates varying from the U.S. Federal statutory rate and the unfavorable impact of global intangible low-tax income (“GILTI”).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our income tax expense, in thousands, for the six months ended June 30, 2026 and 2025:</w:t>
      </w:r>
    </w:p>
    <w:p>
      <w:pPr>
        <w:pStyle w:val="TextBody"/>
        <w:bidi w:val="0"/>
        <w:jc w:val="left"/>
        <w:rPr/>
      </w:pPr>
      <w:r>
        <w:rPr/>
        <w:t> </w:t>
      </w:r>
    </w:p>
    <w:tbl>
      <w:tblPr>
        <w:tblW w:w="5416" w:type="dxa"/>
        <w:jc w:val="left"/>
        <w:tblInd w:w="0" w:type="dxa"/>
        <w:tblLayout w:type="fixed"/>
        <w:tblCellMar>
          <w:top w:w="28" w:type="dxa"/>
          <w:left w:w="28" w:type="dxa"/>
          <w:bottom w:w="28" w:type="dxa"/>
          <w:right w:w="28" w:type="dxa"/>
        </w:tblCellMar>
      </w:tblPr>
      <w:tblGrid>
        <w:gridCol w:w="1726"/>
        <w:gridCol w:w="146"/>
        <w:gridCol w:w="211"/>
        <w:gridCol w:w="571"/>
        <w:gridCol w:w="146"/>
        <w:gridCol w:w="146"/>
        <w:gridCol w:w="211"/>
        <w:gridCol w:w="571"/>
        <w:gridCol w:w="146"/>
        <w:gridCol w:w="146"/>
        <w:gridCol w:w="297"/>
        <w:gridCol w:w="888"/>
        <w:gridCol w:w="21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Favorable / </w:t>
              <w:br/>
              <w:t>(Unfavorable)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was $6.3 million for the six months ended June 30, 2026 on earnings before income tax of $14.9 million, representing an effective tax rate of 42.2%. The effective tax rate differed from the U.S. Federal statutory rate of 21.0% primarily due to the impact of income taxes on foreign earnings taxed at rates varying from the U.S. Federal statutory rate and the unfavorable impact of transactions costs incurred in connection with the 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$4.3 million for the six months ended June 30, 2025 on earnings before income tax of $4.6 million, representing an effective tax rate of 92.4%. The effective tax rate differed from the U.S. Federal statutory rate of 21.0% primarily due to the unfavorable impact of GILTI, unfavorable tax effects of equity vesting and a valuation allowance established in the U.S. related to a capital loss carryforward.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cash flows from operations and borrowings available under our Credit Agreement (defined below). Our cash requirements consist principally of working capital, capital expenditures, research and development, operating lease payments, income tax payments and general corporate purposes. We generally reinvest available cash flows from operations into our business, while opportunistically utilizing our authorized stock repurchase program. Further, we continuously evaluate acquisition and investment opportunities that will enhance our business strategies.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$213.2 million of cash and cash equivalents and $289.1 million of availability under our Credit Agreement.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expect to be able to move funds between different countries to manage our global liquidity needs without material adverse tax implications, subject to current monetary policies and the terms of the Credit Agreement. We utilize a combination of strategies, including dividends, cash pooling arrangements, intercompany loan repayments and other distributions and advances to provide the funds necessary to meet our global liquidity needs. There are no significant restrictions on the ability of our subsidiaries to pay dividends or make other distributions to Gentherm Incorporated. As of June 30, 2026, the Company’s cash and cash equivalents held by our non-U.S. subsidiaries totaled $165.6 million. If additional non-U.S. cash was needed for our U.S. operations, we may be required to accrue and pay withholding if we were to distribute such funds from non-U.S. subsidiaries to the U.S.; however, based on our current liquidity needs and strategies, we do not anticipate a need to accrue and pay such additional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believe that our cash and cash equivalents, borrowings available under the Credit Agreement and cash flows from operations will be adequate to meet anticipated cash requirements for at least the next twelve months and the foreseeable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our cash and cash equivalents, in thousands: </w:t>
      </w:r>
    </w:p>
    <w:tbl>
      <w:tblPr>
        <w:tblW w:w="7249" w:type="dxa"/>
        <w:jc w:val="left"/>
        <w:tblInd w:w="0" w:type="dxa"/>
        <w:tblLayout w:type="fixed"/>
        <w:tblCellMar>
          <w:top w:w="28" w:type="dxa"/>
          <w:left w:w="28" w:type="dxa"/>
          <w:bottom w:w="28" w:type="dxa"/>
          <w:right w:w="28" w:type="dxa"/>
        </w:tblCellMar>
      </w:tblPr>
      <w:tblGrid>
        <w:gridCol w:w="4496"/>
        <w:gridCol w:w="146"/>
        <w:gridCol w:w="211"/>
        <w:gridCol w:w="781"/>
        <w:gridCol w:w="166"/>
        <w:gridCol w:w="146"/>
        <w:gridCol w:w="211"/>
        <w:gridCol w:w="781"/>
        <w:gridCol w:w="311"/>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effect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128,297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totaled $2.3 million during the six months ended June 30, 2026 primarily reflecting net income of $8.6 million, $40.3 million for non-cash charges for depreciation, amortization, stock based compensation, loss on disposition of property and equipment, provisions for inventory and other non-cash items, including unrealized foreign currency (gain) loss, $16.2 million related to changes in accounts payable, and $8.3 million related to changes in net other assets and liabilities, partially offset by $58.1 million related to changes in accounts receivable, net, $8.6 million for non-cash deferred income taxes, and $4.4 million related to changes in inventory.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$14.4 million during the six months ended June 30, 2026, primarily reflecting purchases of property and equipment of $14.2 million and investments in technology companies of $0.2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$65.9 million during the six months ended June 30, 2026, reflecting the borrowing of debt of $142.0 million partially offset by $71.1 million of debt repayments, $2.7 million paid for financing new loans and $2.3 million paid for employee taxes related to the net settlement of restricted stock units that vested during the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debt, in thousands, as of June 30, 2026 and December 31, 2025: </w:t>
      </w:r>
    </w:p>
    <w:tbl>
      <w:tblPr>
        <w:tblW w:w="9541" w:type="dxa"/>
        <w:jc w:val="left"/>
        <w:tblInd w:w="0" w:type="dxa"/>
        <w:tblLayout w:type="fixed"/>
        <w:tblCellMar>
          <w:top w:w="28" w:type="dxa"/>
          <w:left w:w="28" w:type="dxa"/>
          <w:bottom w:w="28" w:type="dxa"/>
          <w:right w:w="28" w:type="dxa"/>
        </w:tblCellMar>
      </w:tblPr>
      <w:tblGrid>
        <w:gridCol w:w="4531"/>
        <w:gridCol w:w="146"/>
        <w:gridCol w:w="146"/>
        <w:gridCol w:w="571"/>
        <w:gridCol w:w="271"/>
        <w:gridCol w:w="146"/>
        <w:gridCol w:w="211"/>
        <w:gridCol w:w="781"/>
        <w:gridCol w:w="166"/>
        <w:gridCol w:w="146"/>
        <w:gridCol w:w="168"/>
        <w:gridCol w:w="538"/>
        <w:gridCol w:w="271"/>
        <w:gridCol w:w="146"/>
        <w:gridCol w:w="211"/>
        <w:gridCol w:w="781"/>
        <w:gridCol w:w="3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Principal</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(U.S. Dollar denominations)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Gentherm, together with certain of its subsidiaries, maintain a revolving credit note (the “Revolving Credit Facility”) under its Third Amended and Restated Credit Agreement with a consortium of lenders and Bank of America, N.A. as administrative agent (as amended by the Second Amendment described below, the “Credit Agreement”). The Credit Agreement was entered into on June 29, 2026 and amends and restates in its entirety the Second Amended and Restated Credit Agreement dated June 10, 2022, by and among Gentherm, certain of its direct and indirect subsidiaries, the lenders party thereto and the Agent. The Credit Agreement has a maximum borrowing capacity of $550 million and matures on June 29, 2031. The Credit Agreement contains covenants, that, among other things, (i) prohibit or limit the ability to incur additional indebtedness, create liens, pay dividends, make certain types of investments, enter into certain types of transactions with affiliates, prepay other indebtedness, sell assets or enter into certain other transactions outside the ordinary course of business, and (ii) require that Gentherm maintain a minimum Consolidated Interest Coverage Ratio and a maximum Consolidated Net Leverage Ratio (based on consolidated EBITDA for the applicable trailing four fiscal quarters) as of the end of any fiscal quarter. The Credit Agreement also contains customary events of default.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was in compliance with the terms of the Credit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Modine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Merger Agreement, Gentherm, SpinCo and a financial institution executed a 364-day bridge loan facility commitment letter, pursuant to which such financial institution committed to provide the Bridge Facility and the Backstop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the Company amended its credit agreement to permit the Modine Transaction, which terminated the Backstop Commitment. On June 29, 2026, SpinCo replaced the Bridge Facility with permanent financing by entering into a credit agreement, providing for a delayed-draw term loan facility with aggregate commitments of up to $250.0 million (the "Senior Credit Facility"). Borrowings under the Senior Credit Facility are expected to be funded on the closing date of the Modine Transaction and used to fund the SpinCo Cash Distribution and to pay certain other amounts required under the Merger Agreement. If the Modine Transaction is consummated, any indebtedness incurred by SpinCo will become indebtedness of a wholly owned subsidiary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committed to a restructuring plan to realign our operating model and organizational structure to deliver on key financial and operational priorities. We expect to incur cash restructuring costs of between $9.0 million and $9.5 million for employee separation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committed to a restructuring plan to further optimize our manufacturing footprint by realigning our global manufacturing capacity. We expect to incur cash restructuring costs of between $3 million and $4 million for employee separation and retention costs and $1 million of other transition costs primarily for machinery and equipment move and set up costs. Additionally, we expect to incur capital expenditures of between $1 million and $2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we committed to a restructuring plan to further optimize our manufacturing footprint by realigning our manufacturing capacity in Europe. We expect to incur cash restructuring costs of between $4 million and $6 million for employee separation and retention costs and between $2 million and $3 million of other transition costs primarily for machinery and equipment move and set up costs. Additionally, we expect to incur capital expenditures of between $1 million and $2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3, “Restructuring,” to the consolidated condensed financial statements included in this Report for additional information regarding these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and the requirements for the Modine Transaction and the acquisition of IME described in “Management’s Discussion and Analysis of Financial Condition and Results of Operations” in this Report, there have been no material changes in our cash requirements since December 31, 2025, the end of fiscal year 2025. See Part II, Item 7 “Management’s Discussion and Analysis of Financial Condition and Results of Operations” in our Annual Report on Form 10-K for the year ended December 31, 2025 for additional information regarding our material cash requirements.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automotive component supply industry has historically been subject to inflationary pressures with respect to materials and labor. At times in recent years, the automotive industry has experienced significant volatility in the costs of certain materials and components, labor and transportation. Rising costs of materials, labor, equipment and other inputs used to manufacture and sell our products, including freight and logistics costs, have adversely impacted, and may in the future adversely impact, operating costs and operating results. The impact of tariffs and geopolitical conflicts could add to these inflationary pressures. Although the Company has developed and implemented strategies to mitigate the impact of higher material component costs and transportation costs through sourcing and manufacturing efficiencies where possible, these strategies together with commercial negotiations with Gentherm's customers and suppliers have not fully offset to date and may not fully offset our future cost increases. Such inflationary cost increase may increase the cash required to fund our operations by a material amount.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and results of operations are based upon our consolidated condensed financial statements, which have been prepared in accordance with accounting principles generally accepted in the United States of America. For discussion of our significant accounting policies, see Note 2, “Summary of Significant Accounting Policies,” to the consolidated financial statements included in our Annual Report on Form 10-K for the year ended December 31, 2025. There have been no significant changes in our critical accounting policies or critical accounting estimates during the three months ended June 30, 2026. We are not presently aware of any events or circumstances that would require us to update our estimates, assumptions or revise the carrying value of our assets or liabilities. Our estimates may change, however, as new events occur and additional information is obtained. As a result, actual results may differ significantly from our estimates, and any such differences may be material to our financial statements.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9" w:name="item_3_quantitative_qualitative_disclosu"/>
      <w:bookmarkEnd w:id="2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exposed to various market risks including, but not limited to, changes in foreign currency exchange rates, changes in interest rates and price fluctuations of certain material commodities. Market risks for changes in interest rates relate primarily to the Company's debt obligations under the Credit Agreement. Foreign currency exchange risks are attributable to sales to foreign customers and purchases from foreign suppliers not denominated in a location’s functional currency, foreign plant operations, intercompany indebtedness, acquisitions denominated in foreign currencies, intercompany investments and include exposures to the Euro, Mexican Peso, Hungarian Forint, North Macedonian Denar, Ukrainian Hryvnia, Japanese Yen, Chinese Renminbi, Korean Won, Czech Koruna, Vietnamese Dong and Moroccan Dirham.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decision of whether and when to execute derivative financial instruments, along with the duration of the instrument, may vary from period to period depending on market conditions, the relative costs of the instruments and capacity to hedge. The duration is linked to the timing of the underlying exposure, with the connection between the two being regularly monitored. The Company does not enter into derivative financial instruments for speculative 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designated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that can be classified as a cash flow hedge, the effective portion of the change in the fair value of the derivative is recorded to accumulated other comprehensive loss in the consolidated condensed balance sheets. When the underlying hedge transaction is realized, the gain or loss included in accumulated other comprehensive loss is recorded in earnings in the consolidated condensed statements of income on the same line as the hedged item. Cash flows associated with derivatives are reported in net cash provided by operating activities in the Company’s consolidated statements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related to the fair values of all derivative instruments in the consolidated condensed balance sheet as of June 30, 2026 is set forth in Note 10, “Financial Instruments” in the consolidated condensed financial statements included in this Report.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Rate Sensitivity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presents principal cash flows and related weighted average interest rates by expected maturity dates for each of the Company’s debt obligations, excluding finance leases. The information is presented in U.S. Dollar equivalents, which is the Company’s reporting currency. </w:t>
      </w:r>
    </w:p>
    <w:tbl>
      <w:tblPr>
        <w:tblW w:w="10205" w:type="dxa"/>
        <w:jc w:val="left"/>
        <w:tblInd w:w="0" w:type="dxa"/>
        <w:tblLayout w:type="fixed"/>
        <w:tblCellMar>
          <w:top w:w="28" w:type="dxa"/>
          <w:left w:w="28" w:type="dxa"/>
          <w:bottom w:w="28" w:type="dxa"/>
          <w:right w:w="28" w:type="dxa"/>
        </w:tblCellMar>
      </w:tblPr>
      <w:tblGrid>
        <w:gridCol w:w="1813"/>
        <w:gridCol w:w="146"/>
        <w:gridCol w:w="211"/>
        <w:gridCol w:w="346"/>
        <w:gridCol w:w="146"/>
        <w:gridCol w:w="146"/>
        <w:gridCol w:w="211"/>
        <w:gridCol w:w="346"/>
        <w:gridCol w:w="146"/>
        <w:gridCol w:w="146"/>
        <w:gridCol w:w="211"/>
        <w:gridCol w:w="346"/>
        <w:gridCol w:w="146"/>
        <w:gridCol w:w="146"/>
        <w:gridCol w:w="211"/>
        <w:gridCol w:w="346"/>
        <w:gridCol w:w="146"/>
        <w:gridCol w:w="146"/>
        <w:gridCol w:w="211"/>
        <w:gridCol w:w="346"/>
        <w:gridCol w:w="146"/>
        <w:gridCol w:w="146"/>
        <w:gridCol w:w="211"/>
        <w:gridCol w:w="781"/>
        <w:gridCol w:w="271"/>
        <w:gridCol w:w="146"/>
        <w:gridCol w:w="211"/>
        <w:gridCol w:w="781"/>
        <w:gridCol w:w="271"/>
        <w:gridCol w:w="146"/>
        <w:gridCol w:w="211"/>
        <w:gridCol w:w="781"/>
        <w:gridCol w:w="191"/>
      </w:tblGrid>
      <w:tr>
        <w:trPr/>
        <w:tc>
          <w:tcPr>
            <w:tcW w:w="1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6"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Date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interest rate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amounts outstanding as of June 30, 2026, a hypothetical 100 basis point change (increase or decrease) in interest rates would impact annual interest expense by $2.6 million. To hedge the Company's exposure to interest payment fluctuations on a portion of these borrowings, we entered into floating-to-fixed interest rate swap agreements with notional amounts totaling $100.0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Exchange Rate Sensitivity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table below provides information about the Company’s foreign currency exchange rate agreements that are sensitive to changes in foreign currency exchange rates. The table presents the notional amounts and weighted average exchange rates by expected maturity dates for each type of foreign currency exchange agreement. These notional amounts generally are used to calculate the payments to be exchanged under the contract. </w:t>
      </w:r>
    </w:p>
    <w:tbl>
      <w:tblPr>
        <w:tblW w:w="10205" w:type="dxa"/>
        <w:jc w:val="left"/>
        <w:tblInd w:w="0" w:type="dxa"/>
        <w:tblLayout w:type="fixed"/>
        <w:tblCellMar>
          <w:top w:w="28" w:type="dxa"/>
          <w:left w:w="28" w:type="dxa"/>
          <w:bottom w:w="28" w:type="dxa"/>
          <w:right w:w="28" w:type="dxa"/>
        </w:tblCellMar>
      </w:tblPr>
      <w:tblGrid>
        <w:gridCol w:w="4224"/>
        <w:gridCol w:w="146"/>
        <w:gridCol w:w="211"/>
        <w:gridCol w:w="676"/>
        <w:gridCol w:w="146"/>
        <w:gridCol w:w="146"/>
        <w:gridCol w:w="211"/>
        <w:gridCol w:w="676"/>
        <w:gridCol w:w="146"/>
        <w:gridCol w:w="146"/>
        <w:gridCol w:w="211"/>
        <w:gridCol w:w="571"/>
        <w:gridCol w:w="146"/>
        <w:gridCol w:w="146"/>
        <w:gridCol w:w="211"/>
        <w:gridCol w:w="781"/>
        <w:gridCol w:w="146"/>
        <w:gridCol w:w="146"/>
        <w:gridCol w:w="276"/>
        <w:gridCol w:w="631"/>
        <w:gridCol w:w="212"/>
      </w:tblGrid>
      <w:tr>
        <w:trPr/>
        <w:tc>
          <w:tcPr>
            <w:tcW w:w="4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Expected Maturity or Transaction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Anticipated Transactions and Related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USD Functional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Exchange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(Receive MXN / Pay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contract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table below presents the potential gain and loss in fair value for the foreign currency derivative contracts from a hypothetical 10% change in quoted currency exchange rates. </w:t>
      </w:r>
    </w:p>
    <w:tbl>
      <w:tblPr>
        <w:tblW w:w="10205" w:type="dxa"/>
        <w:jc w:val="left"/>
        <w:tblInd w:w="0" w:type="dxa"/>
        <w:tblLayout w:type="fixed"/>
        <w:tblCellMar>
          <w:top w:w="28" w:type="dxa"/>
          <w:left w:w="28" w:type="dxa"/>
          <w:bottom w:w="28" w:type="dxa"/>
          <w:right w:w="28" w:type="dxa"/>
        </w:tblCellMar>
      </w:tblPr>
      <w:tblGrid>
        <w:gridCol w:w="2770"/>
        <w:gridCol w:w="146"/>
        <w:gridCol w:w="412"/>
        <w:gridCol w:w="1118"/>
        <w:gridCol w:w="146"/>
        <w:gridCol w:w="146"/>
        <w:gridCol w:w="380"/>
        <w:gridCol w:w="1220"/>
        <w:gridCol w:w="146"/>
        <w:gridCol w:w="146"/>
        <w:gridCol w:w="412"/>
        <w:gridCol w:w="1118"/>
        <w:gridCol w:w="146"/>
        <w:gridCol w:w="146"/>
        <w:gridCol w:w="419"/>
        <w:gridCol w:w="1137"/>
        <w:gridCol w:w="197"/>
      </w:tblGrid>
      <w:tr>
        <w:trPr/>
        <w:tc>
          <w:tcPr>
            <w:tcW w:w="2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Exchange Rate Sensitivity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gain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loss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Potential gain in 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Exchange Agreement:(Receive MXN / Pay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bookmarkStart w:id="30" w:name="item_4_controls_procedures"/>
      <w:bookmarkEnd w:id="3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of the Company, under the supervision and with the participation of the Chief Executive Officer and the Chief Financial Officer, carried out an evaluation of the effectiveness of the design and operation of the Company’s disclosure controls and procedures as of June 30, 2026. As defined in Rules 13a-15(e) and 15d-15(e) under the Securities Exchange Act of 1934 (as amended, the “Exchange Act”), disclosure controls and procedures are controls and procedures designed to provide reasonable assurance that information required to be disclosed in reports filed or submitted under the Exchange Act is recorded, processed, summarized and reported on a timely basis, and that such information is accumulated and communicated to management, including the Chief Executive Officer and Chief Financial Officer, as appropriate, to allow timely decisions regarding required disclosure. Based upon this evaluation, the Chief Executive Officer and Chief Financial Officer have concluded that the Company’s disclosure controls and procedures were effective as of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(b)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during the three months ended June 30, 2026 that have materially affected, or are reasonably likely to materially affect, the Company’s internal control over financial reporting.</w:t>
      </w:r>
    </w:p>
    <w:p>
      <w:pPr>
        <w:pStyle w:val="TextBody"/>
        <w:bidi w:val="0"/>
        <w:spacing w:before="1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1" w:name="part_ii_other_information"/>
      <w:bookmarkEnd w:id="31"/>
      <w:r>
        <w:rPr>
          <w:rFonts w:ascii="Times New Roman" w:hAnsi="Times New Roman"/>
          <w:b/>
          <w:caps/>
          <w:color w:val="000000"/>
          <w:sz w:val="20"/>
        </w:rPr>
        <w:t>PART II OTHER INFORMATION</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32" w:name="item_1_legal_proceedings"/>
      <w:bookmarkEnd w:id="3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litigation from time to time in the ordinary course of business, however there was no material pending litigation to which we are a party and no material legal proceeding was terminated, settled or otherwise resolved during the three months ended June 30, 2026. </w:t>
      </w:r>
    </w:p>
    <w:p>
      <w:pPr>
        <w:pStyle w:val="TextBody"/>
        <w:bidi w:val="0"/>
        <w:spacing w:before="240" w:after="283"/>
        <w:jc w:val="left"/>
        <w:rPr>
          <w:rFonts w:ascii="Times New Roman" w:hAnsi="Times New Roman"/>
          <w:sz w:val="20"/>
        </w:rPr>
      </w:pPr>
      <w:bookmarkStart w:id="33" w:name="item_1a_2"/>
      <w:bookmarkEnd w:id="3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information set forth in this Report, you should carefully consider the risk factors previously disclosed in Part 1, Item 1A “Risk Factors” in our Annual Report on Form 10-K for the year ended December 31, 2025. The Company is not aware of any additional material risks or uncertainties.</w:t>
      </w:r>
    </w:p>
    <w:p>
      <w:pPr>
        <w:pStyle w:val="TextBody"/>
        <w:bidi w:val="0"/>
        <w:spacing w:before="240" w:after="283"/>
        <w:jc w:val="left"/>
        <w:rPr>
          <w:rFonts w:ascii="Times New Roman" w:hAnsi="Times New Roman"/>
          <w:b/>
          <w:color w:val="000000"/>
          <w:sz w:val="20"/>
        </w:rPr>
      </w:pPr>
      <w:bookmarkStart w:id="34" w:name="item_2_unregistered_sales_equity_securit"/>
      <w:bookmarkEnd w:id="34"/>
      <w:r>
        <w:rPr>
          <w:rFonts w:ascii="Times New Roman" w:hAnsi="Times New Roman"/>
          <w:b/>
          <w:color w:val="000000"/>
          <w:sz w:val="20"/>
        </w:rPr>
        <w:t>ITEM 2. UNREGISTERED SALES OF EQUITY SECURITIES AND USE OF PROCEEDS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Issuer Purchases of Equity Securities During Second Quarter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did not repurchase any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July 2026, the Board terminated the 2024 Stock Repurchase Program and authorized the 2026 Stock Repurchase Program, pursuant to which the Company is authorized to repurchase up to $400.0 million of its issued and outstanding Common Stock over a three-year period, expiring July 27, 2029. At the time of termination, the 2024 Stock Repurchase Program had $110.1 million of share repurchase authorization remaining. </w:t>
      </w:r>
    </w:p>
    <w:p>
      <w:pPr>
        <w:pStyle w:val="TextBody"/>
        <w:bidi w:val="0"/>
        <w:spacing w:before="120" w:after="283"/>
        <w:jc w:val="left"/>
        <w:rPr>
          <w:rFonts w:ascii="Times New Roman" w:hAnsi="Times New Roman"/>
          <w:sz w:val="20"/>
        </w:rPr>
      </w:pPr>
      <w:bookmarkStart w:id="35" w:name="item_5_other_information"/>
      <w:bookmarkEnd w:id="35"/>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Trading Plans – Directors and Section 16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36" w:name="item_6_exhibits"/>
      <w:bookmarkEnd w:id="3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Exhibits to this Report are as follows: </w:t>
      </w:r>
    </w:p>
    <w:tbl>
      <w:tblPr>
        <w:tblW w:w="10205" w:type="dxa"/>
        <w:jc w:val="left"/>
        <w:tblInd w:w="0" w:type="dxa"/>
        <w:tblLayout w:type="fixed"/>
        <w:tblCellMar>
          <w:top w:w="28" w:type="dxa"/>
          <w:left w:w="28" w:type="dxa"/>
          <w:bottom w:w="28" w:type="dxa"/>
          <w:right w:w="28" w:type="dxa"/>
        </w:tblCellMar>
      </w:tblPr>
      <w:tblGrid>
        <w:gridCol w:w="737"/>
        <w:gridCol w:w="146"/>
        <w:gridCol w:w="4968"/>
        <w:gridCol w:w="146"/>
        <w:gridCol w:w="976"/>
        <w:gridCol w:w="146"/>
        <w:gridCol w:w="511"/>
        <w:gridCol w:w="146"/>
        <w:gridCol w:w="616"/>
        <w:gridCol w:w="146"/>
        <w:gridCol w:w="890"/>
        <w:gridCol w:w="146"/>
        <w:gridCol w:w="631"/>
      </w:tblGrid>
      <w:tr>
        <w:trPr/>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0"/>
              <w:jc w:val="center"/>
              <w:rPr/>
            </w:pPr>
            <w:r>
              <w:rPr/>
              <w:t> </w:t>
            </w:r>
          </w:p>
        </w:tc>
        <w:tc>
          <w:tcPr>
            <w:tcW w:w="976" w:type="dxa"/>
            <w:tcBorders/>
            <w:tcMar>
              <w:top w:w="0" w:type="dxa"/>
              <w:left w:w="0" w:type="dxa"/>
              <w:bottom w:w="0" w:type="dxa"/>
              <w:right w:w="0" w:type="dxa"/>
            </w:tcMar>
            <w:vAlign w:val="center"/>
          </w:tcPr>
          <w:p>
            <w:pPr>
              <w:pStyle w:val="TableContents"/>
              <w:bidi w:val="0"/>
              <w:spacing w:before="0" w:after="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7"/>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3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 / 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Period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w:t>
              <w:br/>
              <w:t>Appendix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r:id="rId2">
              <w:r>
                <w:rPr>
                  <w:rStyle w:val="InternetLink"/>
                  <w:rFonts w:ascii="Times New Roman" w:hAnsi="Times New Roman"/>
                  <w:color w:val="0000FF"/>
                  <w:sz w:val="20"/>
                  <w:u w:val="single"/>
                </w:rPr>
                <w:t>Second Amended and Restated Articles of Incorporation of Gentherm Incorporated</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3/5/18</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r:id="rId3">
              <w:r>
                <w:rPr>
                  <w:rStyle w:val="InternetLink"/>
                  <w:rFonts w:ascii="Times New Roman" w:hAnsi="Times New Roman"/>
                  <w:color w:val="0000FF"/>
                  <w:sz w:val="20"/>
                  <w:u w:val="single"/>
                </w:rPr>
                <w:t>Amended and Restated Bylaws of Gentherm Incorporated</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5/26/16</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r:id="rId4">
              <w:r>
                <w:rPr>
                  <w:rStyle w:val="InternetLink"/>
                  <w:rFonts w:ascii="Times New Roman" w:hAnsi="Times New Roman"/>
                  <w:color w:val="0000FF"/>
                  <w:sz w:val="20"/>
                  <w:u w:val="single"/>
                </w:rPr>
                <w:t>First Amendment to Gentherm Incorporated 2023 Equity Incentive Plan</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5/19/26</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r:id="rId5">
              <w:r>
                <w:rPr>
                  <w:rStyle w:val="InternetLink"/>
                  <w:rFonts w:ascii="Times New Roman" w:hAnsi="Times New Roman"/>
                  <w:color w:val="0000FF"/>
                  <w:sz w:val="20"/>
                  <w:u w:val="single"/>
                </w:rPr>
                <w:t>Third Amended and Restated Credit Agreement, dated as of June 29, 2026, by and among Gentherm Incorporated, Gentherm (Texas), Inc., Gentherm Medical, LLC, Gentherm GmbH and Gentherm Präzision SE, the lenders party thereto, and Bank of America, N.A., as administrative agent, swing line lender and L/C issuer</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7/2/26</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w:anchor="thrm-ex31_1.htm">
              <w:r>
                <w:rPr>
                  <w:rStyle w:val="InternetLink"/>
                  <w:rFonts w:ascii="Times New Roman" w:hAnsi="Times New Roman"/>
                  <w:color w:val="0000FF"/>
                  <w:sz w:val="20"/>
                  <w:u w:val="single"/>
                </w:rPr>
                <w:t>Section 302 Certification – CEO</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w:anchor="thrm-ex31_2.htm">
              <w:r>
                <w:rPr>
                  <w:rStyle w:val="InternetLink"/>
                  <w:rFonts w:ascii="Times New Roman" w:hAnsi="Times New Roman"/>
                  <w:color w:val="0000FF"/>
                  <w:sz w:val="20"/>
                  <w:u w:val="single"/>
                </w:rPr>
                <w:t>Section 302 Certification – CFO</w:t>
              </w:r>
            </w:hyperlink>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w:anchor="thrm-ex32_1.htm">
              <w:r>
                <w:rPr>
                  <w:rStyle w:val="InternetLink"/>
                  <w:rFonts w:ascii="Times New Roman" w:hAnsi="Times New Roman"/>
                  <w:color w:val="0000FF"/>
                  <w:sz w:val="20"/>
                  <w:u w:val="single"/>
                </w:rPr>
                <w:t>Section 906 Certification – CEO</w:t>
              </w:r>
            </w:hyperlink>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pPr>
            <w:hyperlink w:anchor="thrm-ex32_2.htm">
              <w:r>
                <w:rPr>
                  <w:rStyle w:val="InternetLink"/>
                  <w:rFonts w:ascii="Times New Roman" w:hAnsi="Times New Roman"/>
                  <w:color w:val="0000FF"/>
                  <w:sz w:val="20"/>
                  <w:u w:val="single"/>
                </w:rPr>
                <w:t>Section 906 Certification – CFO</w:t>
              </w:r>
            </w:hyperlink>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r>
        <w:trPr/>
        <w:tc>
          <w:tcPr>
            <w:tcW w:w="737"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4968"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976"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10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890"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0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0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Schedules and exhibits to this agreement have been omitted pursuant to Item 601(a)(5) of Regulation S-K. Gentherm agrees to furnish any omitted schedules or exhibits upon the request of the Securities and Exchange Commission. A list of the omitted schedules and exhibits to this agreement is set forth in the agreement.</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Documents are furnished not filed.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able_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682" w:type="dxa"/>
        <w:jc w:val="left"/>
        <w:tblInd w:w="0" w:type="dxa"/>
        <w:tblLayout w:type="fixed"/>
        <w:tblCellMar>
          <w:top w:w="28" w:type="dxa"/>
          <w:left w:w="28" w:type="dxa"/>
          <w:bottom w:w="28" w:type="dxa"/>
          <w:right w:w="28" w:type="dxa"/>
        </w:tblCellMar>
      </w:tblPr>
      <w:tblGrid>
        <w:gridCol w:w="401"/>
        <w:gridCol w:w="5281"/>
      </w:tblGrid>
      <w:tr>
        <w:trPr/>
        <w:tc>
          <w:tcPr>
            <w:tcW w:w="401"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Gentherm Incorporated</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/s/ William Presley</w:t>
            </w:r>
          </w:p>
        </w:tc>
      </w:tr>
      <w:tr>
        <w:trPr/>
        <w:tc>
          <w:tcPr>
            <w:tcW w:w="40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William Presley</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July 23, 2026</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Jonathan Douyard</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401" w:type="dxa"/>
            <w:tcBorders/>
            <w:tcMar>
              <w:top w:w="0" w:type="dxa"/>
              <w:left w:w="0" w:type="dxa"/>
              <w:bottom w:w="0" w:type="dxa"/>
              <w:right w:w="0" w:type="dxa"/>
            </w:tcMar>
            <w:vAlign w:val="center"/>
          </w:tcPr>
          <w:p>
            <w:pPr>
              <w:pStyle w:val="TableContents"/>
              <w:bidi w:val="0"/>
              <w:spacing w:before="0" w:after="20"/>
              <w:jc w:val="left"/>
              <w:rPr/>
            </w:pPr>
            <w:r>
              <w:rPr/>
              <w:t> </w:t>
            </w:r>
          </w:p>
        </w:tc>
        <w:tc>
          <w:tcPr>
            <w:tcW w:w="528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July 23,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8" w:name="thrm-ex31_1.htm"/>
      <w:bookmarkStart w:id="39" w:name="ksthrmex31_1"/>
      <w:bookmarkEnd w:id="38"/>
      <w:bookmarkEnd w:id="39"/>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William Presley,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Gentherm Incorporated;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23,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0" w:name="thrm-ex31_2.htm"/>
      <w:bookmarkStart w:id="41" w:name="ksthrmex31_2"/>
      <w:bookmarkEnd w:id="40"/>
      <w:bookmarkEnd w:id="41"/>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Jonathan Douyard, certify that: </w:t>
      </w:r>
    </w:p>
    <w:p>
      <w:pPr>
        <w:pStyle w:val="TextBody"/>
        <w:bidi w:val="0"/>
        <w:spacing w:before="120" w:after="283"/>
        <w:jc w:val="left"/>
        <w:rPr>
          <w:rFonts w:ascii="Symbol;serif" w:hAnsi="Symbol;serif"/>
          <w:color w:val="000000"/>
          <w:sz w:val="20"/>
        </w:rPr>
      </w:pPr>
      <w:r>
        <w:rPr>
          <w:rFonts w:ascii="Symbol;serif" w:hAnsi="Symbol;serif"/>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Gentherm Incorporated; </w:t>
      </w:r>
    </w:p>
    <w:p>
      <w:pPr>
        <w:pStyle w:val="TextBody"/>
        <w:bidi w:val="0"/>
        <w:spacing w:before="120" w:after="283"/>
        <w:jc w:val="left"/>
        <w:rPr>
          <w:rFonts w:ascii="Symbol;serif" w:hAnsi="Symbol;serif"/>
          <w:color w:val="000000"/>
          <w:sz w:val="20"/>
        </w:rPr>
      </w:pPr>
      <w:r>
        <w:rPr>
          <w:rFonts w:ascii="Symbol;serif" w:hAnsi="Symbol;serif"/>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Symbol;serif" w:hAnsi="Symbol;serif"/>
          <w:color w:val="000000"/>
          <w:sz w:val="20"/>
        </w:rPr>
      </w:pPr>
      <w:r>
        <w:rPr>
          <w:rFonts w:ascii="Symbol;serif" w:hAnsi="Symbol;serif"/>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Symbol;serif" w:hAnsi="Symbol;serif"/>
          <w:color w:val="000000"/>
          <w:sz w:val="20"/>
        </w:rPr>
      </w:pPr>
      <w:r>
        <w:rPr>
          <w:rFonts w:ascii="Symbol;serif" w:hAnsi="Symbol;serif"/>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Symbol;serif" w:hAnsi="Symbol;serif"/>
          <w:color w:val="000000"/>
          <w:sz w:val="20"/>
        </w:rPr>
      </w:pPr>
      <w:r>
        <w:rPr>
          <w:rFonts w:ascii="Symbol;serif" w:hAnsi="Symbol;serif"/>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23,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2" w:name="thrm-ex32_1.htm"/>
      <w:bookmarkStart w:id="43" w:name="ksthrmex32_1"/>
      <w:bookmarkEnd w:id="42"/>
      <w:bookmarkEnd w:id="43"/>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Gentherm Incorporated (the “Company”) on Form 10-Q for the period ended June 30, 2026 as filed with the Securities and Exchange Commission on the date hereof (the “Report”), I, William Presley, President and Chief Executive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Presley</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23,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4" w:name="thrm-ex32_2.htm"/>
      <w:bookmarkStart w:id="45" w:name="ksthrmex32_2"/>
      <w:bookmarkEnd w:id="44"/>
      <w:bookmarkEnd w:id="45"/>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Gentherm Incorporated (the “Company”) on Form 10-Q for the period ended June 30, 2026 as filed with the Securities and Exchange Commission on the date hereof (the “Report”), I, Jonathan Douyard, Chief Financial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Douyard</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23, 2026</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3129/000119312518070672/d544984dex32.htm" TargetMode="External"/><Relationship Id="rId3" Type="http://schemas.openxmlformats.org/officeDocument/2006/relationships/hyperlink" Target="https://www.sec.gov/Archives/edgar/data/903129/000156459016020008/thrm-ex31_6.htm" TargetMode="External"/><Relationship Id="rId4" Type="http://schemas.openxmlformats.org/officeDocument/2006/relationships/hyperlink" Target="https://www.sec.gov/Archives/edgar/data/903129/000119312526231132/d90313dex101.htm" TargetMode="External"/><Relationship Id="rId5" Type="http://schemas.openxmlformats.org/officeDocument/2006/relationships/hyperlink" Target="https://www.sec.gov/Archives/edgar/data/903129/000119312526293500/d52623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20714</Words>
  <Characters>113707</Characters>
  <CharactersWithSpaces>136514</CharactersWithSpaces>
  <Paragraphs>8411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