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00"/>
          </w:cols>
          <w:pgMar w:left="240" w:top="522" w:right="259" w:bottom="1440" w:gutter="0" w:footer="0" w:header="0"/>
        </w:sectPr>
      </w:pPr>
    </w:p>
    <w:p>
      <w:pPr>
        <w:spacing w:after="0" w:line="182" w:lineRule="exact"/>
        <w:rPr>
          <w:sz w:val="24"/>
          <w:szCs w:val="24"/>
          <w:color w:val="auto"/>
        </w:rPr>
      </w:pPr>
    </w:p>
    <w:p>
      <w:pPr>
        <w:ind w:left="2520"/>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49" w:lineRule="exact"/>
        <w:rPr>
          <w:sz w:val="24"/>
          <w:szCs w:val="24"/>
          <w:color w:val="auto"/>
        </w:rPr>
      </w:pPr>
    </w:p>
    <w:p>
      <w:pPr>
        <w:ind w:left="4680"/>
        <w:spacing w:after="0"/>
        <w:rPr>
          <w:sz w:val="20"/>
          <w:szCs w:val="20"/>
          <w:color w:val="auto"/>
        </w:rPr>
      </w:pPr>
      <w:r>
        <w:rPr>
          <w:rFonts w:ascii="Arial" w:cs="Arial" w:eastAsia="Arial" w:hAnsi="Arial"/>
          <w:sz w:val="21"/>
          <w:szCs w:val="21"/>
          <w:color w:val="auto"/>
        </w:rPr>
        <w:t>___________________</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April 24, 2018</w:t>
      </w:r>
    </w:p>
    <w:p>
      <w:pPr>
        <w:spacing w:after="0" w:line="479" w:lineRule="exact"/>
        <w:rPr>
          <w:sz w:val="24"/>
          <w:szCs w:val="24"/>
          <w:color w:val="auto"/>
        </w:rPr>
      </w:pPr>
    </w:p>
    <w:p>
      <w:pPr>
        <w:sectPr>
          <w:pgSz w:w="11900" w:h="16838" w:orient="portrait"/>
          <w:cols w:equalWidth="0" w:num="2">
            <w:col w:w="6960" w:space="640"/>
            <w:col w:w="3800"/>
          </w:cols>
          <w:pgMar w:left="240" w:top="522" w:right="259" w:bottom="1440" w:gutter="0" w:footer="0" w:header="0"/>
          <w:type w:val="continuous"/>
        </w:sectPr>
      </w:pPr>
    </w:p>
    <w:p>
      <w:pPr>
        <w:jc w:val="center"/>
        <w:ind w:right="-19"/>
        <w:spacing w:after="0"/>
        <w:rPr>
          <w:sz w:val="20"/>
          <w:szCs w:val="20"/>
          <w:color w:val="auto"/>
        </w:rPr>
      </w:pPr>
      <w:r>
        <w:rPr>
          <w:rFonts w:ascii="Arial" w:cs="Arial" w:eastAsia="Arial" w:hAnsi="Arial"/>
          <w:sz w:val="29"/>
          <w:szCs w:val="29"/>
          <w:b w:val="1"/>
          <w:bCs w:val="1"/>
          <w:color w:val="auto"/>
        </w:rPr>
        <w:t>GENTHERM INCORPORATED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680"/>
        <w:spacing w:after="0"/>
        <w:rPr>
          <w:sz w:val="20"/>
          <w:szCs w:val="20"/>
          <w:color w:val="auto"/>
        </w:rPr>
      </w:pPr>
      <w:r>
        <w:rPr>
          <w:rFonts w:ascii="Arial" w:cs="Arial" w:eastAsia="Arial" w:hAnsi="Arial"/>
          <w:sz w:val="22"/>
          <w:szCs w:val="22"/>
          <w:b w:val="1"/>
          <w:bCs w:val="1"/>
          <w:color w:val="auto"/>
        </w:rPr>
        <w:t>___________________</w:t>
      </w:r>
    </w:p>
    <w:p>
      <w:pPr>
        <w:sectPr>
          <w:pgSz w:w="11900" w:h="16838" w:orient="portrait"/>
          <w:cols w:equalWidth="0" w:num="1">
            <w:col w:w="11400"/>
          </w:cols>
          <w:pgMar w:left="240" w:top="522" w:right="259" w:bottom="1440" w:gutter="0" w:footer="0" w:header="0"/>
          <w:type w:val="continuous"/>
        </w:sectPr>
      </w:pPr>
    </w:p>
    <w:p>
      <w:pPr>
        <w:spacing w:after="0" w:line="191" w:lineRule="exact"/>
        <w:rPr>
          <w:sz w:val="24"/>
          <w:szCs w:val="24"/>
          <w:color w:val="auto"/>
        </w:rPr>
      </w:pPr>
    </w:p>
    <w:p>
      <w:pPr>
        <w:ind w:left="2500"/>
        <w:spacing w:after="0"/>
        <w:rPr>
          <w:sz w:val="20"/>
          <w:szCs w:val="20"/>
          <w:color w:val="auto"/>
        </w:rPr>
      </w:pP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1400"/>
        <w:spacing w:after="0"/>
        <w:rPr>
          <w:sz w:val="20"/>
          <w:szCs w:val="20"/>
          <w:color w:val="auto"/>
        </w:rPr>
      </w:pPr>
      <w:r>
        <w:rPr>
          <w:rFonts w:ascii="Arial" w:cs="Arial" w:eastAsia="Arial" w:hAnsi="Arial"/>
          <w:sz w:val="16"/>
          <w:szCs w:val="16"/>
          <w:b w:val="1"/>
          <w:bCs w:val="1"/>
          <w:color w:val="auto"/>
        </w:rPr>
        <w:t>0-21810</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95-4318554</w:t>
      </w:r>
    </w:p>
    <w:p>
      <w:pPr>
        <w:spacing w:after="0" w:line="31" w:lineRule="exact"/>
        <w:rPr>
          <w:sz w:val="24"/>
          <w:szCs w:val="24"/>
          <w:color w:val="auto"/>
        </w:rPr>
      </w:pPr>
    </w:p>
    <w:p>
      <w:pPr>
        <w:sectPr>
          <w:pgSz w:w="11900" w:h="16838" w:orient="portrait"/>
          <w:cols w:equalWidth="0" w:num="3">
            <w:col w:w="4700" w:space="720"/>
            <w:col w:w="2000" w:space="720"/>
            <w:col w:w="3260"/>
          </w:cols>
          <w:pgMar w:left="240" w:top="522" w:right="259" w:bottom="1440" w:gutter="0" w:footer="0" w:header="0"/>
          <w:type w:val="continuous"/>
        </w:sectPr>
      </w:pPr>
    </w:p>
    <w:p>
      <w:pPr>
        <w:spacing w:after="0" w:line="11" w:lineRule="exact"/>
        <w:rPr>
          <w:sz w:val="24"/>
          <w:szCs w:val="24"/>
          <w:color w:val="auto"/>
        </w:rPr>
      </w:pPr>
    </w:p>
    <w:p>
      <w:pPr>
        <w:jc w:val="center"/>
        <w:ind w:left="1140"/>
        <w:spacing w:after="0"/>
        <w:rPr>
          <w:sz w:val="20"/>
          <w:szCs w:val="20"/>
          <w:color w:val="auto"/>
        </w:rPr>
      </w:pPr>
      <w:r>
        <w:rPr>
          <w:rFonts w:ascii="Arial" w:cs="Arial" w:eastAsia="Arial" w:hAnsi="Arial"/>
          <w:sz w:val="13"/>
          <w:szCs w:val="13"/>
          <w:b w:val="1"/>
          <w:bCs w:val="1"/>
          <w:color w:val="auto"/>
        </w:rPr>
        <w:t>(State or other jurisdiction</w:t>
      </w:r>
    </w:p>
    <w:p>
      <w:pPr>
        <w:jc w:val="center"/>
        <w:ind w:left="11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4"/>
          <w:szCs w:val="14"/>
          <w:b w:val="1"/>
          <w:bCs w:val="1"/>
          <w:color w:val="auto"/>
        </w:rPr>
        <w:t>(IRS Employer</w:t>
      </w:r>
    </w:p>
    <w:p>
      <w:pPr>
        <w:jc w:val="center"/>
        <w:ind w:right="22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1980" w:space="720"/>
            <w:col w:w="3380"/>
          </w:cols>
          <w:pgMar w:left="240" w:top="522" w:right="259" w:bottom="1440" w:gutter="0" w:footer="0" w:header="0"/>
          <w:type w:val="continuous"/>
        </w:sectPr>
      </w:pPr>
    </w:p>
    <w:p>
      <w:pPr>
        <w:spacing w:after="0" w:line="181"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21680 Haggerty Road, Ste. 101, Northville, MI</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48167</w:t>
      </w:r>
    </w:p>
    <w:p>
      <w:pPr>
        <w:spacing w:after="0" w:line="50" w:lineRule="exact"/>
        <w:rPr>
          <w:sz w:val="24"/>
          <w:szCs w:val="24"/>
          <w:color w:val="auto"/>
        </w:rPr>
      </w:pPr>
    </w:p>
    <w:p>
      <w:pPr>
        <w:sectPr>
          <w:pgSz w:w="11900" w:h="16838" w:orient="portrait"/>
          <w:cols w:equalWidth="0" w:num="2">
            <w:col w:w="7060" w:space="720"/>
            <w:col w:w="3620"/>
          </w:cols>
          <w:pgMar w:left="240" w:top="522" w:right="25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060"/>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6960" w:space="720"/>
            <w:col w:w="3720"/>
          </w:cols>
          <w:pgMar w:left="240" w:top="522" w:right="259" w:bottom="1440" w:gutter="0" w:footer="0" w:header="0"/>
          <w:type w:val="continuous"/>
        </w:sect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(248) 504-0500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Former name or former address, if changed since last report: N/A</w:t>
      </w:r>
    </w:p>
    <w:p>
      <w:pPr>
        <w:spacing w:after="0" w:line="229" w:lineRule="exact"/>
        <w:rPr>
          <w:sz w:val="24"/>
          <w:szCs w:val="24"/>
          <w:color w:val="auto"/>
        </w:rPr>
      </w:pPr>
    </w:p>
    <w:p>
      <w:pPr>
        <w:ind w:right="220" w:firstLine="62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firstLine="629"/>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2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1184275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type w:val="continuous"/>
        </w:sectPr>
      </w:pPr>
    </w:p>
    <w:bookmarkStart w:id="1" w:name="page2"/>
    <w:bookmarkEnd w:id="1"/>
    <w:p>
      <w:pPr>
        <w:spacing w:after="0"/>
        <w:tabs>
          <w:tab w:leader="none" w:pos="148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6"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On April 24, 2018, Gentherm Incorporated (the “Company”), together with certain of its direct and indirect subsidiaries, entered into a Fourth Amendment to Credit Agreement (the “Fourth Amendment”), with the lenders party thereto and Bank of America, N.A., as administrative agent. The Fourth Amendment amends that certain Credit Agreement, dated August 7, 2014, as amended, by and among such parties (the “Credit Agreement”).</w:t>
      </w:r>
    </w:p>
    <w:p>
      <w:pPr>
        <w:spacing w:after="0" w:line="178"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Credit Agreement provides that U.S. Dollar denominated loans bear interest at either a base rate or Eurocurrency rate, plus a margin, and all loans denominated in a currency other than the U.S. Dollar must be Eurocurrency rate loans. The Eurocurrency rate for loans is equal to the London Interbank Offered Rate (“LIBOR”). The Fourth Amendment establishes a means for determining an alternative for LIBOR if it is determined that ascertaining LIBOR is no longer possible.</w:t>
      </w:r>
    </w:p>
    <w:p>
      <w:pPr>
        <w:spacing w:after="0" w:line="165" w:lineRule="exact"/>
        <w:rPr>
          <w:sz w:val="20"/>
          <w:szCs w:val="20"/>
          <w:color w:val="auto"/>
        </w:rPr>
      </w:pPr>
    </w:p>
    <w:p>
      <w:pPr>
        <w:ind w:right="260"/>
        <w:spacing w:after="0" w:line="260" w:lineRule="auto"/>
        <w:rPr>
          <w:sz w:val="20"/>
          <w:szCs w:val="20"/>
          <w:color w:val="auto"/>
        </w:rPr>
      </w:pPr>
      <w:r>
        <w:rPr>
          <w:rFonts w:ascii="Arial" w:cs="Arial" w:eastAsia="Arial" w:hAnsi="Arial"/>
          <w:sz w:val="19"/>
          <w:szCs w:val="19"/>
          <w:color w:val="auto"/>
        </w:rPr>
        <w:t>The Fourth Amendment also modifies certain negative covenants in the Credit Agreement pertaining to the Company’s investments and indebtedness (and related liens and guarantees) in Vietnam, Ukraine and Macedonia, by increasing the maximum permitted amount of such investments or indebtedness. The maximum permitted investment in Vietnam was increased from $35 million to $45 million, the maximum combined permitted investment in Ukraine and Macedonia was increased from $50 million to $75 million, and the maximum permitted indebtedness of the Company’s Macedonia subsidiary was increased from $10 million to $25 million.</w:t>
      </w:r>
    </w:p>
    <w:p>
      <w:pPr>
        <w:spacing w:after="0" w:line="167"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other terms and conditions of the Credit Agreement were not materially amended by the Fourth Amendment and remain in full force and effect. The foregoing summary of the material terms of the Fourth Amendment is qualified in its entirety by reference to the Fourth Amendment, which is attached hereto as Exhibit 10.1 and incorporated herein by reference.</w:t>
      </w:r>
    </w:p>
    <w:p>
      <w:pPr>
        <w:spacing w:after="0" w:line="200" w:lineRule="exact"/>
        <w:rPr>
          <w:sz w:val="20"/>
          <w:szCs w:val="20"/>
          <w:color w:val="auto"/>
        </w:rPr>
      </w:pPr>
    </w:p>
    <w:p>
      <w:pPr>
        <w:spacing w:after="0" w:line="21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6" w:lineRule="exact"/>
        <w:rPr>
          <w:sz w:val="20"/>
          <w:szCs w:val="20"/>
          <w:color w:val="auto"/>
        </w:rPr>
      </w:pPr>
    </w:p>
    <w:p>
      <w:pPr>
        <w:ind w:left="900" w:hanging="892"/>
        <w:spacing w:after="0"/>
        <w:tabs>
          <w:tab w:leader="none" w:pos="9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Exhibits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80" w:type="dxa"/>
            <w:vAlign w:val="bottom"/>
            <w:gridSpan w:val="2"/>
          </w:tcPr>
          <w:p>
            <w:pPr>
              <w:spacing w:after="0"/>
              <w:rPr>
                <w:sz w:val="20"/>
                <w:szCs w:val="20"/>
                <w:color w:val="auto"/>
              </w:rPr>
            </w:pPr>
            <w:r>
              <w:rPr>
                <w:rFonts w:ascii="Arial" w:cs="Arial" w:eastAsia="Arial" w:hAnsi="Arial"/>
                <w:sz w:val="20"/>
                <w:szCs w:val="20"/>
                <w:color w:val="auto"/>
              </w:rPr>
              <w:t>Exhibit No.</w:t>
            </w:r>
          </w:p>
        </w:tc>
        <w:tc>
          <w:tcPr>
            <w:tcW w:w="720" w:type="dxa"/>
            <w:vAlign w:val="bottom"/>
          </w:tcPr>
          <w:p>
            <w:pPr>
              <w:spacing w:after="0"/>
              <w:rPr>
                <w:sz w:val="21"/>
                <w:szCs w:val="21"/>
                <w:color w:val="auto"/>
              </w:rPr>
            </w:pPr>
          </w:p>
        </w:tc>
        <w:tc>
          <w:tcPr>
            <w:tcW w:w="9420" w:type="dxa"/>
            <w:vAlign w:val="bottom"/>
            <w:gridSpan w:val="3"/>
          </w:tcPr>
          <w:p>
            <w:pPr>
              <w:spacing w:after="0"/>
              <w:rPr>
                <w:sz w:val="20"/>
                <w:szCs w:val="20"/>
                <w:color w:val="auto"/>
              </w:rPr>
            </w:pPr>
            <w:r>
              <w:rPr>
                <w:rFonts w:ascii="Arial" w:cs="Arial" w:eastAsia="Arial" w:hAnsi="Arial"/>
                <w:sz w:val="20"/>
                <w:szCs w:val="20"/>
                <w:color w:val="auto"/>
              </w:rPr>
              <w:t>Description</w:t>
            </w:r>
          </w:p>
        </w:tc>
      </w:tr>
      <w:tr>
        <w:trPr>
          <w:trHeight w:val="41"/>
        </w:trPr>
        <w:tc>
          <w:tcPr>
            <w:tcW w:w="940" w:type="dxa"/>
            <w:vAlign w:val="bottom"/>
            <w:tcBorders>
              <w:top w:val="single" w:sz="8" w:color="auto"/>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8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406"/>
        </w:trPr>
        <w:tc>
          <w:tcPr>
            <w:tcW w:w="940" w:type="dxa"/>
            <w:vAlign w:val="bottom"/>
          </w:tcPr>
          <w:p>
            <w:pPr>
              <w:spacing w:after="0"/>
              <w:rPr>
                <w:sz w:val="20"/>
                <w:szCs w:val="20"/>
                <w:color w:val="auto"/>
              </w:rPr>
            </w:pPr>
            <w:r>
              <w:rPr>
                <w:rFonts w:ascii="Arial" w:cs="Arial" w:eastAsia="Arial" w:hAnsi="Arial"/>
                <w:sz w:val="22"/>
                <w:szCs w:val="22"/>
                <w:color w:val="auto"/>
              </w:rPr>
              <w:t>10.1</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80" w:type="dxa"/>
            <w:vAlign w:val="bottom"/>
            <w:tcBorders>
              <w:bottom w:val="single" w:sz="8" w:color="0000EE"/>
            </w:tcBorders>
            <w:gridSpan w:val="2"/>
          </w:tcPr>
          <w:p>
            <w:pPr>
              <w:spacing w:after="0"/>
              <w:rPr>
                <w:rFonts w:ascii="Arial" w:cs="Arial" w:eastAsia="Arial" w:hAnsi="Arial"/>
                <w:sz w:val="20"/>
                <w:szCs w:val="20"/>
                <w:color w:val="0000EE"/>
                <w:w w:val="90"/>
              </w:rPr>
            </w:pPr>
            <w:hyperlink w:anchor="page4">
              <w:r>
                <w:rPr>
                  <w:rFonts w:ascii="Arial" w:cs="Arial" w:eastAsia="Arial" w:hAnsi="Arial"/>
                  <w:sz w:val="20"/>
                  <w:szCs w:val="20"/>
                  <w:color w:val="0000EE"/>
                  <w:w w:val="90"/>
                </w:rPr>
                <w:t>Fourth Amendment to Credit Agreement, dated as of April 24, 2018, by and among Gentherm Incorporated, certain of</w:t>
              </w:r>
            </w:hyperlink>
          </w:p>
        </w:tc>
        <w:tc>
          <w:tcPr>
            <w:tcW w:w="40" w:type="dxa"/>
            <w:vAlign w:val="bottom"/>
          </w:tcPr>
          <w:p>
            <w:pPr>
              <w:spacing w:after="0"/>
              <w:rPr>
                <w:sz w:val="24"/>
                <w:szCs w:val="24"/>
                <w:color w:val="auto"/>
              </w:rPr>
            </w:pPr>
          </w:p>
        </w:tc>
      </w:tr>
      <w:tr>
        <w:trPr>
          <w:trHeight w:val="210"/>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40" w:type="dxa"/>
            <w:vAlign w:val="bottom"/>
            <w:tcBorders>
              <w:bottom w:val="single" w:sz="8" w:color="0000EE"/>
            </w:tcBorders>
          </w:tcPr>
          <w:p>
            <w:pPr>
              <w:spacing w:after="0" w:line="209" w:lineRule="exact"/>
              <w:rPr>
                <w:rFonts w:ascii="Arial" w:cs="Arial" w:eastAsia="Arial" w:hAnsi="Arial"/>
                <w:sz w:val="20"/>
                <w:szCs w:val="20"/>
                <w:color w:val="0000EE"/>
                <w:w w:val="89"/>
              </w:rPr>
            </w:pPr>
            <w:hyperlink w:anchor="page4">
              <w:r>
                <w:rPr>
                  <w:rFonts w:ascii="Arial" w:cs="Arial" w:eastAsia="Arial" w:hAnsi="Arial"/>
                  <w:sz w:val="20"/>
                  <w:szCs w:val="20"/>
                  <w:color w:val="0000EE"/>
                  <w:w w:val="89"/>
                </w:rPr>
                <w:t>its direct and indirect subsidiaries, the lenders party thereto, and Bank of America, N.A., as administrative agent.</w:t>
              </w:r>
            </w:hyperlink>
          </w:p>
        </w:tc>
        <w:tc>
          <w:tcPr>
            <w:tcW w:w="480" w:type="dxa"/>
            <w:vAlign w:val="bottom"/>
            <w:gridSpan w:val="2"/>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23" w:lineRule="exact"/>
        <w:rPr>
          <w:sz w:val="20"/>
          <w:szCs w:val="20"/>
          <w:color w:val="auto"/>
        </w:rPr>
      </w:pPr>
    </w:p>
    <w:p>
      <w:pPr>
        <w:ind w:firstLine="827"/>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GENTHERM INCORPORATED</w:t>
      </w:r>
    </w:p>
    <w:p>
      <w:pPr>
        <w:spacing w:after="0" w:line="200" w:lineRule="exact"/>
        <w:rPr>
          <w:sz w:val="20"/>
          <w:szCs w:val="20"/>
          <w:color w:val="auto"/>
        </w:rPr>
      </w:pPr>
    </w:p>
    <w:p>
      <w:pPr>
        <w:spacing w:after="0" w:line="265" w:lineRule="exact"/>
        <w:rPr>
          <w:sz w:val="20"/>
          <w:szCs w:val="20"/>
          <w:color w:val="auto"/>
        </w:rPr>
      </w:pPr>
    </w:p>
    <w:tbl>
      <w:tblPr>
        <w:tblLayout w:type="fixed"/>
        <w:tblInd w:w="580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Kenneth J. Phillips</w:t>
            </w:r>
          </w:p>
        </w:tc>
      </w:tr>
      <w:tr>
        <w:trPr>
          <w:trHeight w:val="206"/>
        </w:trPr>
        <w:tc>
          <w:tcPr>
            <w:tcW w:w="840" w:type="dxa"/>
            <w:vAlign w:val="bottom"/>
          </w:tcPr>
          <w:p>
            <w:pPr>
              <w:spacing w:after="0"/>
              <w:rPr>
                <w:sz w:val="17"/>
                <w:szCs w:val="17"/>
                <w:color w:val="auto"/>
              </w:rPr>
            </w:pPr>
          </w:p>
        </w:tc>
        <w:tc>
          <w:tcPr>
            <w:tcW w:w="3840" w:type="dxa"/>
            <w:vAlign w:val="bottom"/>
          </w:tcPr>
          <w:p>
            <w:pPr>
              <w:spacing w:after="0" w:line="207" w:lineRule="exact"/>
              <w:rPr>
                <w:sz w:val="20"/>
                <w:szCs w:val="20"/>
                <w:color w:val="auto"/>
              </w:rPr>
            </w:pPr>
            <w:r>
              <w:rPr>
                <w:rFonts w:ascii="Arial" w:cs="Arial" w:eastAsia="Arial" w:hAnsi="Arial"/>
                <w:sz w:val="20"/>
                <w:szCs w:val="20"/>
                <w:color w:val="auto"/>
              </w:rPr>
              <w:t>Kenneth J. Phillips</w:t>
            </w:r>
          </w:p>
        </w:tc>
      </w:tr>
      <w:tr>
        <w:trPr>
          <w:trHeight w:val="250"/>
        </w:trPr>
        <w:tc>
          <w:tcPr>
            <w:tcW w:w="84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20"/>
                <w:szCs w:val="20"/>
                <w:color w:val="auto"/>
              </w:rPr>
              <w:t>Vice-President and General Counsel</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 April 24,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1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AMENDMENT TO CREDIT AGREEMENT</w:t>
      </w:r>
    </w:p>
    <w:p>
      <w:pPr>
        <w:spacing w:after="0" w:line="200"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color w:val="auto"/>
        </w:rPr>
        <w:t>THIS FOURTH AMENDMENT TO CREDIT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April 24, 2018, is entered into by and among Gentherm Incorporated, a Michigan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Gentherm (Texas), Inc., a Texas corporation (“</w:t>
      </w:r>
      <w:r>
        <w:rPr>
          <w:rFonts w:ascii="Arial" w:cs="Arial" w:eastAsia="Arial" w:hAnsi="Arial"/>
          <w:sz w:val="19"/>
          <w:szCs w:val="19"/>
          <w:u w:val="single" w:color="auto"/>
          <w:color w:val="auto"/>
        </w:rPr>
        <w:t>Gentherm Texas</w:t>
      </w:r>
      <w:r>
        <w:rPr>
          <w:rFonts w:ascii="Arial" w:cs="Arial" w:eastAsia="Arial" w:hAnsi="Arial"/>
          <w:sz w:val="19"/>
          <w:szCs w:val="19"/>
          <w:color w:val="auto"/>
        </w:rPr>
        <w:t>”), Gentherm Licensing, Limited Partnership, a Michigan limited partnership (“</w:t>
      </w:r>
      <w:r>
        <w:rPr>
          <w:rFonts w:ascii="Arial" w:cs="Arial" w:eastAsia="Arial" w:hAnsi="Arial"/>
          <w:sz w:val="19"/>
          <w:szCs w:val="19"/>
          <w:u w:val="single" w:color="auto"/>
          <w:color w:val="auto"/>
        </w:rPr>
        <w:t>Gentherm Licensing US</w:t>
      </w:r>
      <w:r>
        <w:rPr>
          <w:rFonts w:ascii="Arial" w:cs="Arial" w:eastAsia="Arial" w:hAnsi="Arial"/>
          <w:sz w:val="19"/>
          <w:szCs w:val="19"/>
          <w:color w:val="auto"/>
        </w:rPr>
        <w:t>”), Gentherm GmbH, a German limited liability company (“</w:t>
      </w:r>
      <w:r>
        <w:rPr>
          <w:rFonts w:ascii="Arial" w:cs="Arial" w:eastAsia="Arial" w:hAnsi="Arial"/>
          <w:sz w:val="19"/>
          <w:szCs w:val="19"/>
          <w:u w:val="single" w:color="auto"/>
          <w:color w:val="auto"/>
        </w:rPr>
        <w:t>Gentherm Germany</w:t>
      </w:r>
      <w:r>
        <w:rPr>
          <w:rFonts w:ascii="Arial" w:cs="Arial" w:eastAsia="Arial" w:hAnsi="Arial"/>
          <w:sz w:val="19"/>
          <w:szCs w:val="19"/>
          <w:color w:val="auto"/>
        </w:rPr>
        <w:t>”), Gentherm Enterprises GmbH, a German limited liability company (“</w:t>
      </w:r>
      <w:r>
        <w:rPr>
          <w:rFonts w:ascii="Arial" w:cs="Arial" w:eastAsia="Arial" w:hAnsi="Arial"/>
          <w:sz w:val="19"/>
          <w:szCs w:val="19"/>
          <w:u w:val="single" w:color="auto"/>
          <w:color w:val="auto"/>
        </w:rPr>
        <w:t>Gentherm Enterprises</w:t>
      </w:r>
      <w:r>
        <w:rPr>
          <w:rFonts w:ascii="Arial" w:cs="Arial" w:eastAsia="Arial" w:hAnsi="Arial"/>
          <w:sz w:val="19"/>
          <w:szCs w:val="19"/>
          <w:color w:val="auto"/>
        </w:rPr>
        <w:t>”), Gentherm Licensing GmbH, a German limited liability company (“</w:t>
      </w:r>
      <w:r>
        <w:rPr>
          <w:rFonts w:ascii="Arial" w:cs="Arial" w:eastAsia="Arial" w:hAnsi="Arial"/>
          <w:sz w:val="19"/>
          <w:szCs w:val="19"/>
          <w:u w:val="single" w:color="auto"/>
          <w:color w:val="auto"/>
        </w:rPr>
        <w:t>Gentherm Licensing Germany</w:t>
      </w:r>
      <w:r>
        <w:rPr>
          <w:rFonts w:ascii="Arial" w:cs="Arial" w:eastAsia="Arial" w:hAnsi="Arial"/>
          <w:sz w:val="19"/>
          <w:szCs w:val="19"/>
          <w:color w:val="auto"/>
        </w:rPr>
        <w:t>”; Gentherm Licensing Germany, together with Gentherm Germany and Gentherm Enterprises, the “</w:t>
      </w:r>
      <w:r>
        <w:rPr>
          <w:rFonts w:ascii="Arial" w:cs="Arial" w:eastAsia="Arial" w:hAnsi="Arial"/>
          <w:sz w:val="19"/>
          <w:szCs w:val="19"/>
          <w:u w:val="single" w:color="auto"/>
          <w:color w:val="auto"/>
        </w:rPr>
        <w:t>German Borrowers</w:t>
      </w:r>
      <w:r>
        <w:rPr>
          <w:rFonts w:ascii="Arial" w:cs="Arial" w:eastAsia="Arial" w:hAnsi="Arial"/>
          <w:sz w:val="19"/>
          <w:szCs w:val="19"/>
          <w:color w:val="auto"/>
        </w:rPr>
        <w:t>”), Gentherm Global Power Technologies Inc., an Alberta corporation (“</w:t>
      </w:r>
      <w:r>
        <w:rPr>
          <w:rFonts w:ascii="Arial" w:cs="Arial" w:eastAsia="Arial" w:hAnsi="Arial"/>
          <w:sz w:val="19"/>
          <w:szCs w:val="19"/>
          <w:u w:val="single" w:color="auto"/>
          <w:color w:val="auto"/>
        </w:rPr>
        <w:t>Global</w:t>
      </w:r>
      <w:r>
        <w:rPr>
          <w:rFonts w:ascii="Arial" w:cs="Arial" w:eastAsia="Arial" w:hAnsi="Arial"/>
          <w:sz w:val="19"/>
          <w:szCs w:val="19"/>
          <w:color w:val="auto"/>
        </w:rPr>
        <w:t>”), Gentherm Canada ULC, an Alberta unlimited liability company (“</w:t>
      </w:r>
      <w:r>
        <w:rPr>
          <w:rFonts w:ascii="Arial" w:cs="Arial" w:eastAsia="Arial" w:hAnsi="Arial"/>
          <w:sz w:val="19"/>
          <w:szCs w:val="19"/>
          <w:u w:val="single" w:color="auto"/>
          <w:color w:val="auto"/>
        </w:rPr>
        <w:t>Gentherm Canada</w:t>
      </w:r>
      <w:r>
        <w:rPr>
          <w:rFonts w:ascii="Arial" w:cs="Arial" w:eastAsia="Arial" w:hAnsi="Arial"/>
          <w:sz w:val="19"/>
          <w:szCs w:val="19"/>
          <w:color w:val="auto"/>
        </w:rPr>
        <w:t>”; Gentherm Canada, together with Global, the “</w:t>
      </w:r>
      <w:r>
        <w:rPr>
          <w:rFonts w:ascii="Arial" w:cs="Arial" w:eastAsia="Arial" w:hAnsi="Arial"/>
          <w:sz w:val="19"/>
          <w:szCs w:val="19"/>
          <w:u w:val="single" w:color="auto"/>
          <w:color w:val="auto"/>
        </w:rPr>
        <w:t>Canadian Borrowers</w:t>
      </w:r>
      <w:r>
        <w:rPr>
          <w:rFonts w:ascii="Arial" w:cs="Arial" w:eastAsia="Arial" w:hAnsi="Arial"/>
          <w:sz w:val="19"/>
          <w:szCs w:val="19"/>
          <w:color w:val="auto"/>
        </w:rPr>
        <w:t>”), the Designated Borrower party hereto (the “</w:t>
      </w:r>
      <w:r>
        <w:rPr>
          <w:rFonts w:ascii="Arial" w:cs="Arial" w:eastAsia="Arial" w:hAnsi="Arial"/>
          <w:sz w:val="19"/>
          <w:szCs w:val="19"/>
          <w:u w:val="single" w:color="auto"/>
          <w:color w:val="auto"/>
        </w:rPr>
        <w:t>Designated Borrower</w:t>
      </w:r>
      <w:r>
        <w:rPr>
          <w:rFonts w:ascii="Arial" w:cs="Arial" w:eastAsia="Arial" w:hAnsi="Arial"/>
          <w:sz w:val="19"/>
          <w:szCs w:val="19"/>
          <w:color w:val="auto"/>
        </w:rPr>
        <w:t>”; the Designated Borrower, together with the Company, Gentherm Texas, Gentherm Licensing US, the German Borrowers and the Canadian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hereto, the Lenders party hereto, and Bank of America, N.A., as Administrative Agent (the “</w:t>
      </w:r>
      <w:r>
        <w:rPr>
          <w:rFonts w:ascii="Arial" w:cs="Arial" w:eastAsia="Arial" w:hAnsi="Arial"/>
          <w:sz w:val="19"/>
          <w:szCs w:val="19"/>
          <w:u w:val="single" w:color="auto"/>
          <w:color w:val="auto"/>
        </w:rPr>
        <w:t>Administrative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WHEREAS, the Borrowers, the Lenders and Bank of America, N.A., as Administrative Agent, Swing Line Lender and L/C Issuer, are all parties to that certain Credit Agreement, dated as of August 7, 2014 (as amended or otherwise modified prior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8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WHEREAS, the Borrowers have requested that the Lenders and the Administrative Agent amend certain provisions of the Credit Agreement as set forth herein; and</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WHEREAS, the Lenders party hereto and the Administrative Agent are willing to effect such amendments, subject to the terms and conditions of this Agreement.</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20" w:type="dxa"/>
            <w:vAlign w:val="bottom"/>
          </w:tcPr>
          <w:p>
            <w:pPr>
              <w:jc w:val="center"/>
              <w:ind w:right="4901"/>
              <w:spacing w:after="0"/>
              <w:rPr>
                <w:sz w:val="20"/>
                <w:szCs w:val="20"/>
                <w:color w:val="auto"/>
              </w:rPr>
            </w:pPr>
            <w:r>
              <w:rPr>
                <w:rFonts w:ascii="Arial" w:cs="Arial" w:eastAsia="Arial" w:hAnsi="Arial"/>
                <w:sz w:val="20"/>
                <w:szCs w:val="20"/>
                <w:color w:val="auto"/>
                <w:w w:val="96"/>
              </w:rPr>
              <w:t>ARTICLE I.</w:t>
            </w:r>
          </w:p>
        </w:tc>
      </w:tr>
      <w:tr>
        <w:trPr>
          <w:trHeight w:val="459"/>
        </w:trPr>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tcPr>
          <w:p>
            <w:pPr>
              <w:jc w:val="center"/>
              <w:ind w:right="4901"/>
              <w:spacing w:after="0"/>
              <w:rPr>
                <w:sz w:val="20"/>
                <w:szCs w:val="20"/>
                <w:color w:val="auto"/>
              </w:rPr>
            </w:pPr>
            <w:r>
              <w:rPr>
                <w:rFonts w:ascii="Arial" w:cs="Arial" w:eastAsia="Arial" w:hAnsi="Arial"/>
                <w:sz w:val="20"/>
                <w:szCs w:val="20"/>
                <w:color w:val="auto"/>
                <w:w w:val="96"/>
              </w:rPr>
              <w:t>DEFINITIONS</w:t>
            </w:r>
          </w:p>
        </w:tc>
      </w:tr>
      <w:tr>
        <w:trPr>
          <w:trHeight w:val="401"/>
        </w:trPr>
        <w:tc>
          <w:tcPr>
            <w:tcW w:w="3600" w:type="dxa"/>
            <w:vAlign w:val="bottom"/>
          </w:tcPr>
          <w:p>
            <w:pPr>
              <w:ind w:left="880"/>
              <w:spacing w:after="0"/>
              <w:rPr>
                <w:sz w:val="20"/>
                <w:szCs w:val="20"/>
                <w:color w:val="auto"/>
              </w:rPr>
            </w:pPr>
            <w:r>
              <w:rPr>
                <w:rFonts w:ascii="Arial" w:cs="Arial" w:eastAsia="Arial" w:hAnsi="Arial"/>
                <w:sz w:val="20"/>
                <w:szCs w:val="20"/>
                <w:color w:val="auto"/>
              </w:rPr>
              <w:t>SECTION 1.1.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gridSpan w:val="3"/>
          </w:tcPr>
          <w:p>
            <w:pPr>
              <w:spacing w:after="0"/>
              <w:rPr>
                <w:sz w:val="20"/>
                <w:szCs w:val="20"/>
                <w:color w:val="auto"/>
              </w:rPr>
            </w:pPr>
            <w:r>
              <w:rPr>
                <w:rFonts w:ascii="Arial" w:cs="Arial" w:eastAsia="Arial" w:hAnsi="Arial"/>
                <w:sz w:val="20"/>
                <w:szCs w:val="20"/>
                <w:color w:val="auto"/>
                <w:w w:val="95"/>
              </w:rPr>
              <w:t>Definitions. Capitalized terms used but not otherwise defined herein have the meanings</w:t>
            </w:r>
          </w:p>
        </w:tc>
      </w:tr>
      <w:tr>
        <w:trPr>
          <w:trHeight w:val="254"/>
        </w:trPr>
        <w:tc>
          <w:tcPr>
            <w:tcW w:w="3600" w:type="dxa"/>
            <w:vAlign w:val="bottom"/>
          </w:tcPr>
          <w:p>
            <w:pPr>
              <w:spacing w:after="0"/>
              <w:rPr>
                <w:sz w:val="20"/>
                <w:szCs w:val="20"/>
                <w:color w:val="auto"/>
              </w:rPr>
            </w:pPr>
            <w:r>
              <w:rPr>
                <w:rFonts w:ascii="Arial" w:cs="Arial" w:eastAsia="Arial" w:hAnsi="Arial"/>
                <w:sz w:val="20"/>
                <w:szCs w:val="20"/>
                <w:color w:val="auto"/>
                <w:w w:val="95"/>
              </w:rPr>
              <w:t>assigned to them in the Credit Agreement.</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420" w:type="dxa"/>
            <w:vAlign w:val="bottom"/>
          </w:tcPr>
          <w:p>
            <w:pPr>
              <w:spacing w:after="0"/>
              <w:rPr>
                <w:sz w:val="22"/>
                <w:szCs w:val="22"/>
                <w:color w:val="auto"/>
              </w:rPr>
            </w:pPr>
          </w:p>
        </w:tc>
      </w:tr>
      <w:tr>
        <w:trPr>
          <w:trHeight w:val="446"/>
        </w:trPr>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tcPr>
          <w:p>
            <w:pPr>
              <w:jc w:val="center"/>
              <w:ind w:right="4901"/>
              <w:spacing w:after="0"/>
              <w:rPr>
                <w:sz w:val="20"/>
                <w:szCs w:val="20"/>
                <w:color w:val="auto"/>
              </w:rPr>
            </w:pPr>
            <w:r>
              <w:rPr>
                <w:rFonts w:ascii="Arial" w:cs="Arial" w:eastAsia="Arial" w:hAnsi="Arial"/>
                <w:sz w:val="20"/>
                <w:szCs w:val="20"/>
                <w:color w:val="auto"/>
                <w:w w:val="99"/>
              </w:rPr>
              <w:t>ARTICLE II.</w:t>
            </w:r>
          </w:p>
        </w:tc>
      </w:tr>
      <w:tr>
        <w:trPr>
          <w:trHeight w:val="459"/>
        </w:trPr>
        <w:tc>
          <w:tcPr>
            <w:tcW w:w="3600" w:type="dxa"/>
            <w:vAlign w:val="bottom"/>
          </w:tcPr>
          <w:p>
            <w:pPr>
              <w:spacing w:after="0"/>
              <w:rPr>
                <w:sz w:val="24"/>
                <w:szCs w:val="24"/>
                <w:color w:val="auto"/>
              </w:rPr>
            </w:pPr>
          </w:p>
        </w:tc>
        <w:tc>
          <w:tcPr>
            <w:tcW w:w="7820" w:type="dxa"/>
            <w:vAlign w:val="bottom"/>
            <w:gridSpan w:val="5"/>
          </w:tcPr>
          <w:p>
            <w:pPr>
              <w:jc w:val="center"/>
              <w:ind w:right="3501"/>
              <w:spacing w:after="0"/>
              <w:rPr>
                <w:sz w:val="20"/>
                <w:szCs w:val="20"/>
                <w:color w:val="auto"/>
              </w:rPr>
            </w:pPr>
            <w:r>
              <w:rPr>
                <w:rFonts w:ascii="Arial" w:cs="Arial" w:eastAsia="Arial" w:hAnsi="Arial"/>
                <w:sz w:val="20"/>
                <w:szCs w:val="20"/>
                <w:color w:val="auto"/>
                <w:w w:val="96"/>
              </w:rPr>
              <w:t>AMENDMENTS TO CREDIT AGREEMENT</w:t>
            </w:r>
          </w:p>
        </w:tc>
      </w:tr>
      <w:tr>
        <w:trPr>
          <w:trHeight w:val="401"/>
        </w:trPr>
        <w:tc>
          <w:tcPr>
            <w:tcW w:w="3600" w:type="dxa"/>
            <w:vAlign w:val="bottom"/>
          </w:tcPr>
          <w:p>
            <w:pPr>
              <w:ind w:left="880"/>
              <w:spacing w:after="0"/>
              <w:rPr>
                <w:sz w:val="20"/>
                <w:szCs w:val="20"/>
                <w:color w:val="auto"/>
              </w:rPr>
            </w:pPr>
            <w:r>
              <w:rPr>
                <w:rFonts w:ascii="Arial" w:cs="Arial" w:eastAsia="Arial" w:hAnsi="Arial"/>
                <w:sz w:val="20"/>
                <w:szCs w:val="20"/>
                <w:color w:val="auto"/>
              </w:rPr>
              <w:t>SECTION 2.1.</w:t>
            </w:r>
          </w:p>
        </w:tc>
        <w:tc>
          <w:tcPr>
            <w:tcW w:w="420" w:type="dxa"/>
            <w:vAlign w:val="bottom"/>
          </w:tcPr>
          <w:p>
            <w:pPr>
              <w:spacing w:after="0"/>
              <w:rPr>
                <w:sz w:val="24"/>
                <w:szCs w:val="24"/>
                <w:color w:val="auto"/>
              </w:rPr>
            </w:pPr>
          </w:p>
        </w:tc>
        <w:tc>
          <w:tcPr>
            <w:tcW w:w="7400" w:type="dxa"/>
            <w:vAlign w:val="bottom"/>
            <w:gridSpan w:val="4"/>
          </w:tcPr>
          <w:p>
            <w:pPr>
              <w:spacing w:after="0"/>
              <w:rPr>
                <w:sz w:val="20"/>
                <w:szCs w:val="20"/>
                <w:color w:val="auto"/>
              </w:rPr>
            </w:pPr>
            <w:r>
              <w:rPr>
                <w:rFonts w:ascii="Arial" w:cs="Arial" w:eastAsia="Arial" w:hAnsi="Arial"/>
                <w:sz w:val="20"/>
                <w:szCs w:val="20"/>
                <w:color w:val="auto"/>
              </w:rPr>
              <w:t>Section 1.01.</w:t>
            </w:r>
          </w:p>
        </w:tc>
      </w:tr>
      <w:tr>
        <w:trPr>
          <w:trHeight w:val="465"/>
        </w:trPr>
        <w:tc>
          <w:tcPr>
            <w:tcW w:w="3600" w:type="dxa"/>
            <w:vAlign w:val="bottom"/>
          </w:tcPr>
          <w:p>
            <w:pPr>
              <w:ind w:left="1700"/>
              <w:spacing w:after="0"/>
              <w:rPr>
                <w:sz w:val="20"/>
                <w:szCs w:val="20"/>
                <w:color w:val="auto"/>
              </w:rPr>
            </w:pPr>
            <w:r>
              <w:rPr>
                <w:rFonts w:ascii="Arial" w:cs="Arial" w:eastAsia="Arial" w:hAnsi="Arial"/>
                <w:sz w:val="20"/>
                <w:szCs w:val="20"/>
                <w:color w:val="auto"/>
              </w:rPr>
              <w:t>SECTION 2.1.1.</w:t>
            </w:r>
          </w:p>
        </w:tc>
        <w:tc>
          <w:tcPr>
            <w:tcW w:w="4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20" w:type="dxa"/>
            <w:vAlign w:val="bottom"/>
          </w:tcPr>
          <w:p>
            <w:pPr>
              <w:ind w:left="820"/>
              <w:spacing w:after="0"/>
              <w:rPr>
                <w:sz w:val="20"/>
                <w:szCs w:val="20"/>
                <w:color w:val="auto"/>
              </w:rPr>
            </w:pPr>
            <w:r>
              <w:rPr>
                <w:rFonts w:ascii="Arial" w:cs="Arial" w:eastAsia="Arial" w:hAnsi="Arial"/>
                <w:sz w:val="20"/>
                <w:szCs w:val="20"/>
                <w:color w:val="auto"/>
                <w:w w:val="93"/>
              </w:rPr>
              <w:t>The last sentence in the definition of “Investment” in Section 1.01 of</w:t>
            </w:r>
          </w:p>
        </w:tc>
      </w:tr>
    </w:tbl>
    <w:p>
      <w:pPr>
        <w:ind w:left="880"/>
        <w:spacing w:after="0"/>
        <w:rPr>
          <w:sz w:val="20"/>
          <w:szCs w:val="20"/>
          <w:color w:val="auto"/>
        </w:rPr>
      </w:pPr>
      <w:r>
        <w:rPr>
          <w:rFonts w:ascii="Arial" w:cs="Arial" w:eastAsia="Arial" w:hAnsi="Arial"/>
          <w:sz w:val="20"/>
          <w:szCs w:val="20"/>
          <w:color w:val="auto"/>
        </w:rPr>
        <w:t>the Credit Agreement is hereby amended to read as follows:</w:t>
      </w:r>
    </w:p>
    <w:p>
      <w:pPr>
        <w:spacing w:after="0" w:line="200" w:lineRule="exact"/>
        <w:rPr>
          <w:sz w:val="20"/>
          <w:szCs w:val="20"/>
          <w:color w:val="auto"/>
        </w:rPr>
      </w:pPr>
    </w:p>
    <w:p>
      <w:pPr>
        <w:ind w:left="1760" w:right="20"/>
        <w:spacing w:after="0" w:line="260" w:lineRule="auto"/>
        <w:rPr>
          <w:sz w:val="20"/>
          <w:szCs w:val="20"/>
          <w:color w:val="auto"/>
        </w:rPr>
      </w:pPr>
      <w:r>
        <w:rPr>
          <w:rFonts w:ascii="Arial" w:cs="Arial" w:eastAsia="Arial" w:hAnsi="Arial"/>
          <w:sz w:val="20"/>
          <w:szCs w:val="20"/>
          <w:color w:val="auto"/>
        </w:rPr>
        <w:t>For purposes of covenant compliance, the amount of any Investment shall be the amount actually invested (and, if such Investment is made in a currency other than Dollars,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jc w:val="both"/>
        <w:ind w:left="1760"/>
        <w:spacing w:after="0" w:line="245" w:lineRule="auto"/>
        <w:rPr>
          <w:sz w:val="20"/>
          <w:szCs w:val="20"/>
          <w:color w:val="auto"/>
        </w:rPr>
      </w:pPr>
      <w:r>
        <w:rPr>
          <w:rFonts w:ascii="Arial" w:cs="Arial" w:eastAsia="Arial" w:hAnsi="Arial"/>
          <w:sz w:val="20"/>
          <w:szCs w:val="20"/>
          <w:color w:val="auto"/>
        </w:rPr>
        <w:t>be the equivalent amount thereof in Dollars as reasonably determined by the Company at the time such Investment is made on the basis of the spot rate for the purchase by the Company of such currency with Dollars at such time), without adjustment for subsequent increases or decreases in the value of such Investment (including, with respect to any Investment made in a currency other than Dollars, as a result of changes in rates of currency exchange occurring after the time such Investment is made).</w:t>
      </w: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SECTION 2.1.2.</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Credit Agreement in the appropriate alphabetical order: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defined terms are hereby added to Section 1.01 of the</w:t>
      </w:r>
    </w:p>
    <w:p>
      <w:pPr>
        <w:spacing w:after="0" w:line="445" w:lineRule="exact"/>
        <w:rPr>
          <w:sz w:val="20"/>
          <w:szCs w:val="20"/>
          <w:color w:val="auto"/>
        </w:rPr>
      </w:pPr>
    </w:p>
    <w:p>
      <w:pPr>
        <w:sectPr>
          <w:pgSz w:w="11900" w:h="16838" w:orient="portrait"/>
          <w:cols w:equalWidth="0" w:num="2">
            <w:col w:w="5400" w:space="520"/>
            <w:col w:w="5500"/>
          </w:cols>
          <w:pgMar w:left="240" w:top="122" w:right="239" w:bottom="1440" w:gutter="0" w:footer="0" w:header="0"/>
          <w:type w:val="continuous"/>
        </w:sectPr>
      </w:pPr>
    </w:p>
    <w:p>
      <w:pPr>
        <w:spacing w:after="0" w:line="23" w:lineRule="exact"/>
        <w:rPr>
          <w:sz w:val="20"/>
          <w:szCs w:val="20"/>
          <w:color w:val="auto"/>
        </w:rPr>
      </w:pPr>
    </w:p>
    <w:p>
      <w:pPr>
        <w:jc w:val="both"/>
        <w:ind w:left="880" w:firstLine="81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 means April 24, 2018.</w:t>
      </w:r>
    </w:p>
    <w:p>
      <w:pPr>
        <w:spacing w:after="0" w:line="216" w:lineRule="exact"/>
        <w:rPr>
          <w:sz w:val="20"/>
          <w:szCs w:val="20"/>
          <w:color w:val="auto"/>
        </w:rPr>
      </w:pPr>
    </w:p>
    <w:p>
      <w:pPr>
        <w:jc w:val="both"/>
        <w:ind w:left="880" w:firstLine="81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86"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3.07</w:t>
      </w:r>
      <w:r>
        <w:rPr>
          <w:rFonts w:ascii="Arial" w:cs="Arial" w:eastAsia="Arial" w:hAnsi="Arial"/>
          <w:sz w:val="20"/>
          <w:szCs w:val="20"/>
          <w:color w:val="auto"/>
        </w:rPr>
        <w:t>.</w:t>
      </w:r>
    </w:p>
    <w:p>
      <w:pPr>
        <w:spacing w:after="0" w:line="216" w:lineRule="exact"/>
        <w:rPr>
          <w:sz w:val="20"/>
          <w:szCs w:val="20"/>
          <w:color w:val="auto"/>
        </w:rPr>
      </w:pPr>
    </w:p>
    <w:p>
      <w:pPr>
        <w:jc w:val="both"/>
        <w:ind w:left="880" w:firstLine="81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means, with respect to any proposed LIBOR Successor Rate, any conforming changes to the definition of Base Rate, the definition of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Company).</w:t>
      </w:r>
    </w:p>
    <w:p>
      <w:pPr>
        <w:spacing w:after="0" w:line="169" w:lineRule="exact"/>
        <w:rPr>
          <w:sz w:val="20"/>
          <w:szCs w:val="20"/>
          <w:color w:val="auto"/>
        </w:rPr>
      </w:pPr>
    </w:p>
    <w:p>
      <w:pPr>
        <w:jc w:val="both"/>
        <w:ind w:left="880" w:firstLine="81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3.07</w:t>
      </w:r>
      <w:r>
        <w:rPr>
          <w:rFonts w:ascii="Arial" w:cs="Arial" w:eastAsia="Arial" w:hAnsi="Arial"/>
          <w:sz w:val="20"/>
          <w:szCs w:val="20"/>
          <w:color w:val="auto"/>
        </w:rPr>
        <w:t>.</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Article III</w:t>
      </w:r>
      <w:r>
        <w:rPr>
          <w:rFonts w:ascii="Arial" w:cs="Arial" w:eastAsia="Arial" w:hAnsi="Arial"/>
          <w:sz w:val="20"/>
          <w:szCs w:val="20"/>
          <w:color w:val="auto"/>
        </w:rPr>
        <w:t>. Section 3.07 of the Credit Agreement is hereby amended to be Section 3.08 of the Credit Agreement and a new Section 3.07 is hereby added to Article III of the Credit Agreement immediately following Section 3.06 of the Credit Agreement to read as follows:</w:t>
      </w:r>
    </w:p>
    <w:p>
      <w:pPr>
        <w:spacing w:after="0" w:line="180" w:lineRule="exact"/>
        <w:rPr>
          <w:sz w:val="20"/>
          <w:szCs w:val="20"/>
          <w:color w:val="auto"/>
        </w:rPr>
      </w:pPr>
    </w:p>
    <w:p>
      <w:pPr>
        <w:ind w:left="1700"/>
        <w:spacing w:after="0"/>
        <w:tabs>
          <w:tab w:leader="none" w:pos="2680" w:val="left"/>
        </w:tabs>
        <w:rPr>
          <w:sz w:val="20"/>
          <w:szCs w:val="20"/>
          <w:color w:val="auto"/>
        </w:rPr>
      </w:pPr>
      <w:r>
        <w:rPr>
          <w:rFonts w:ascii="Arial" w:cs="Arial" w:eastAsia="Arial" w:hAnsi="Arial"/>
          <w:sz w:val="20"/>
          <w:szCs w:val="20"/>
          <w:b w:val="1"/>
          <w:bCs w:val="1"/>
          <w:color w:val="auto"/>
        </w:rPr>
        <w:t>3.07</w:t>
      </w:r>
      <w:r>
        <w:rPr>
          <w:sz w:val="20"/>
          <w:szCs w:val="20"/>
          <w:color w:val="auto"/>
        </w:rPr>
        <w:tab/>
      </w:r>
      <w:r>
        <w:rPr>
          <w:rFonts w:ascii="Arial" w:cs="Arial" w:eastAsia="Arial" w:hAnsi="Arial"/>
          <w:sz w:val="16"/>
          <w:szCs w:val="16"/>
          <w:b w:val="1"/>
          <w:bCs w:val="1"/>
          <w:color w:val="auto"/>
        </w:rPr>
        <w:t>LIBOR Successor Rate.</w:t>
      </w:r>
    </w:p>
    <w:p>
      <w:pPr>
        <w:spacing w:after="0" w:line="222" w:lineRule="exact"/>
        <w:rPr>
          <w:sz w:val="20"/>
          <w:szCs w:val="20"/>
          <w:color w:val="auto"/>
        </w:rPr>
      </w:pPr>
    </w:p>
    <w:p>
      <w:pPr>
        <w:jc w:val="both"/>
        <w:ind w:left="880" w:firstLine="810"/>
        <w:spacing w:after="0" w:line="244" w:lineRule="auto"/>
        <w:rPr>
          <w:sz w:val="20"/>
          <w:szCs w:val="20"/>
          <w:color w:val="auto"/>
        </w:rPr>
      </w:pPr>
      <w:r>
        <w:rPr>
          <w:rFonts w:ascii="Arial" w:cs="Arial" w:eastAsia="Arial" w:hAnsi="Arial"/>
          <w:sz w:val="20"/>
          <w:szCs w:val="20"/>
          <w:color w:val="auto"/>
        </w:rPr>
        <w:t>Notwithstanding anything to the contrary in this Agreement or any other Loan Document, if the Administrative Agent determines (which determination shall be conclusive absent manifest error), or the Company or the Required Lenders notify the Administrative Agent (with, in the case of the Required Lenders, a copy to the Company) that the Company or the Required Lenders (as applicable) have determined, that: (a) adequate and reasonable means do not exist for ascertaining LIBOR for any requested Interest Period, including, because the LIBOR Screen Rate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jc w:val="both"/>
        <w:ind w:left="880" w:right="20"/>
        <w:spacing w:after="0" w:line="254" w:lineRule="auto"/>
        <w:rPr>
          <w:sz w:val="20"/>
          <w:szCs w:val="20"/>
          <w:color w:val="auto"/>
        </w:rPr>
      </w:pPr>
      <w:r>
        <w:rPr>
          <w:rFonts w:ascii="Arial" w:cs="Arial" w:eastAsia="Arial" w:hAnsi="Arial"/>
          <w:sz w:val="19"/>
          <w:szCs w:val="19"/>
          <w:color w:val="auto"/>
        </w:rPr>
        <w:t>available or published on a current basis and such circumstances are unlikely to be temporary; or (b) 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xml:space="preserve">”); or (c) syndicated loans currently being executed, or that include language similar to that contained in this </w:t>
      </w:r>
      <w:r>
        <w:rPr>
          <w:rFonts w:ascii="Arial" w:cs="Arial" w:eastAsia="Arial" w:hAnsi="Arial"/>
          <w:sz w:val="19"/>
          <w:szCs w:val="19"/>
          <w:u w:val="single" w:color="auto"/>
          <w:color w:val="auto"/>
        </w:rPr>
        <w:t>Section 3.07</w:t>
      </w:r>
      <w:r>
        <w:rPr>
          <w:rFonts w:ascii="Arial" w:cs="Arial" w:eastAsia="Arial" w:hAnsi="Arial"/>
          <w:sz w:val="19"/>
          <w:szCs w:val="19"/>
          <w:color w:val="auto"/>
        </w:rPr>
        <w:t>, are being executed or amended (as applicable) to incorporate or adopt a new benchmark interest rate to replace LIBOR; then, reasonably promptly after such determination by the Administrative Agent or receipt by the Administrative Agent of such notice, as applicable, the Administrative Agent and the Company may amend this Agreement to replace LIBOR with an alternate benchmark rate (including any mathematical or other adjustments to the benchmark (if any) incorporated therein), giving due consideration to any evolving or then existing convention for similar syndicated credit facilities for such alternative benchmarks (any such proposed rate, a “</w:t>
      </w:r>
      <w:r>
        <w:rPr>
          <w:rFonts w:ascii="Arial" w:cs="Arial" w:eastAsia="Arial" w:hAnsi="Arial"/>
          <w:sz w:val="19"/>
          <w:szCs w:val="19"/>
          <w:u w:val="single" w:color="auto"/>
          <w:color w:val="auto"/>
        </w:rPr>
        <w:t>LIBOR Successor Rate</w:t>
      </w:r>
      <w:r>
        <w:rPr>
          <w:rFonts w:ascii="Arial" w:cs="Arial" w:eastAsia="Arial" w:hAnsi="Arial"/>
          <w:sz w:val="19"/>
          <w:szCs w:val="19"/>
          <w:color w:val="auto"/>
        </w:rPr>
        <w:t>”), together with any proposed LIBOR Successor Rate Conforming Changes and any such amendment shall become effective at 5:00 p.m. on the fifth (5th) Business Day after the Administrative Agent shall have posted such proposed amendment to all Lenders unless, prior to such time, Lenders comprising the Required Lenders have delivered to the Administrative Agent written notice that such Required Lenders do not accept such amendment.</w:t>
      </w:r>
    </w:p>
    <w:p>
      <w:pPr>
        <w:spacing w:after="0" w:line="194" w:lineRule="exact"/>
        <w:rPr>
          <w:sz w:val="20"/>
          <w:szCs w:val="20"/>
          <w:color w:val="auto"/>
        </w:rPr>
      </w:pPr>
    </w:p>
    <w:p>
      <w:pPr>
        <w:jc w:val="both"/>
        <w:ind w:left="880" w:right="20" w:firstLine="810"/>
        <w:spacing w:after="0" w:line="257" w:lineRule="auto"/>
        <w:rPr>
          <w:sz w:val="20"/>
          <w:szCs w:val="20"/>
          <w:color w:val="auto"/>
        </w:rPr>
      </w:pPr>
      <w:r>
        <w:rPr>
          <w:rFonts w:ascii="Arial" w:cs="Arial" w:eastAsia="Arial" w:hAnsi="Arial"/>
          <w:sz w:val="19"/>
          <w:szCs w:val="19"/>
          <w:color w:val="auto"/>
        </w:rPr>
        <w:t xml:space="preserve">If no LIBOR Successor Rate has been determined and the circumstances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exist or the Scheduled Unavailability Date has occurred (as applicable), the Administrative Agent will promptly so notify the Company and each Lender. Thereafter, (i) the obligation of the Lenders to make or maintain Eurocurrency Rate Loans shall be suspended (to the extent of the affected Eurocurrency Rate Loans or Interest Periods), and (ii) the Eurocurrency Rate component of the Base Rate shall no longer be utilized in determining the Base Rate. Upon receipt of such notice, the Company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(subject to the foregoing </w:t>
      </w:r>
      <w:r>
        <w:rPr>
          <w:rFonts w:ascii="Arial" w:cs="Arial" w:eastAsia="Arial" w:hAnsi="Arial"/>
          <w:sz w:val="19"/>
          <w:szCs w:val="19"/>
          <w:u w:val="single" w:color="auto"/>
          <w:color w:val="auto"/>
        </w:rPr>
        <w:t>clause (ii)</w:t>
      </w:r>
      <w:r>
        <w:rPr>
          <w:rFonts w:ascii="Arial" w:cs="Arial" w:eastAsia="Arial" w:hAnsi="Arial"/>
          <w:sz w:val="19"/>
          <w:szCs w:val="19"/>
          <w:color w:val="auto"/>
        </w:rPr>
        <w:t>) in the amount specified therein.</w:t>
      </w:r>
    </w:p>
    <w:p>
      <w:pPr>
        <w:spacing w:after="0" w:line="181" w:lineRule="exact"/>
        <w:rPr>
          <w:sz w:val="20"/>
          <w:szCs w:val="20"/>
          <w:color w:val="auto"/>
        </w:rPr>
      </w:pPr>
    </w:p>
    <w:p>
      <w:pPr>
        <w:jc w:val="both"/>
        <w:ind w:left="880" w:right="20" w:firstLine="810"/>
        <w:spacing w:after="0" w:line="260"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177" w:lineRule="exact"/>
        <w:rPr>
          <w:sz w:val="20"/>
          <w:szCs w:val="20"/>
          <w:color w:val="auto"/>
        </w:rPr>
      </w:pPr>
    </w:p>
    <w:p>
      <w:pPr>
        <w:ind w:right="40" w:firstLine="877"/>
        <w:spacing w:after="0" w:line="260"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Section 5.12</w:t>
      </w:r>
      <w:r>
        <w:rPr>
          <w:rFonts w:ascii="Arial" w:cs="Arial" w:eastAsia="Arial" w:hAnsi="Arial"/>
          <w:sz w:val="20"/>
          <w:szCs w:val="20"/>
          <w:color w:val="auto"/>
        </w:rPr>
        <w:t>. Section 5.12 of the Credit Agreement is hereby amended by adding a new subsection (f) immediately following subsection (e) to read as follows:</w:t>
      </w:r>
    </w:p>
    <w:p>
      <w:pPr>
        <w:spacing w:after="0" w:line="177" w:lineRule="exact"/>
        <w:rPr>
          <w:sz w:val="20"/>
          <w:szCs w:val="20"/>
          <w:color w:val="auto"/>
        </w:rPr>
      </w:pPr>
    </w:p>
    <w:p>
      <w:pPr>
        <w:jc w:val="both"/>
        <w:ind w:left="880" w:right="20" w:firstLine="816"/>
        <w:spacing w:after="0" w:line="250" w:lineRule="auto"/>
        <w:tabs>
          <w:tab w:leader="none" w:pos="2536" w:val="left"/>
        </w:tabs>
        <w:numPr>
          <w:ilvl w:val="0"/>
          <w:numId w:val="3"/>
        </w:numPr>
        <w:rPr>
          <w:rFonts w:ascii="Arial" w:cs="Arial" w:eastAsia="Arial" w:hAnsi="Arial"/>
          <w:sz w:val="20"/>
          <w:szCs w:val="20"/>
          <w:color w:val="auto"/>
        </w:rPr>
      </w:pPr>
      <w:r>
        <w:rPr>
          <w:rFonts w:ascii="Arial" w:cs="Arial" w:eastAsia="Arial" w:hAnsi="Arial"/>
          <w:sz w:val="20"/>
          <w:szCs w:val="20"/>
          <w:color w:val="auto"/>
        </w:rPr>
        <w:t>Each Borrower represents and warrants, as of the Fourth Amendment Effective Date, that such Borrower is not and will not be using “plan assets” (within the meaning of 29 CFR § 2510.3-101, as modified by Section 3(42) of ERISA) of one or more Benefit Plans in connection with the Loans, the Letters of Credit or the Commitments.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ind w:left="880"/>
              <w:spacing w:after="0"/>
              <w:rPr>
                <w:sz w:val="20"/>
                <w:szCs w:val="20"/>
                <w:color w:val="auto"/>
              </w:rPr>
            </w:pPr>
            <w:r>
              <w:rPr>
                <w:rFonts w:ascii="Arial" w:cs="Arial" w:eastAsia="Arial" w:hAnsi="Arial"/>
                <w:sz w:val="20"/>
                <w:szCs w:val="20"/>
                <w:color w:val="auto"/>
              </w:rPr>
              <w:t>SECTION 2.4.</w:t>
            </w:r>
          </w:p>
        </w:tc>
        <w:tc>
          <w:tcPr>
            <w:tcW w:w="1320" w:type="dxa"/>
            <w:vAlign w:val="bottom"/>
          </w:tcPr>
          <w:p>
            <w:pPr>
              <w:spacing w:after="0"/>
              <w:rPr>
                <w:sz w:val="19"/>
                <w:szCs w:val="19"/>
                <w:color w:val="auto"/>
              </w:rPr>
            </w:pPr>
          </w:p>
        </w:tc>
        <w:tc>
          <w:tcPr>
            <w:tcW w:w="7180" w:type="dxa"/>
            <w:vAlign w:val="bottom"/>
            <w:gridSpan w:val="10"/>
          </w:tcPr>
          <w:p>
            <w:pPr>
              <w:spacing w:after="0"/>
              <w:rPr>
                <w:sz w:val="20"/>
                <w:szCs w:val="20"/>
                <w:color w:val="auto"/>
              </w:rPr>
            </w:pPr>
            <w:r>
              <w:rPr>
                <w:rFonts w:ascii="Arial" w:cs="Arial" w:eastAsia="Arial" w:hAnsi="Arial"/>
                <w:sz w:val="20"/>
                <w:szCs w:val="20"/>
                <w:color w:val="auto"/>
                <w:w w:val="98"/>
              </w:rPr>
              <w:t>Section 7.02. Section 7.02 of the Credit Agreement is hereby amended as follows:</w:t>
            </w:r>
          </w:p>
        </w:tc>
        <w:tc>
          <w:tcPr>
            <w:tcW w:w="240" w:type="dxa"/>
            <w:vAlign w:val="bottom"/>
          </w:tcPr>
          <w:p>
            <w:pPr>
              <w:spacing w:after="0"/>
              <w:rPr>
                <w:sz w:val="19"/>
                <w:szCs w:val="19"/>
                <w:color w:val="auto"/>
              </w:rPr>
            </w:pPr>
          </w:p>
        </w:tc>
      </w:tr>
      <w:tr>
        <w:trPr>
          <w:trHeight w:val="449"/>
        </w:trPr>
        <w:tc>
          <w:tcPr>
            <w:tcW w:w="2700" w:type="dxa"/>
            <w:vAlign w:val="bottom"/>
          </w:tcPr>
          <w:p>
            <w:pPr>
              <w:ind w:left="1800"/>
              <w:spacing w:after="0"/>
              <w:rPr>
                <w:sz w:val="20"/>
                <w:szCs w:val="20"/>
                <w:color w:val="auto"/>
              </w:rPr>
            </w:pPr>
            <w:r>
              <w:rPr>
                <w:rFonts w:ascii="Arial" w:cs="Arial" w:eastAsia="Arial" w:hAnsi="Arial"/>
                <w:sz w:val="20"/>
                <w:szCs w:val="20"/>
                <w:color w:val="auto"/>
                <w:w w:val="98"/>
              </w:rPr>
              <w:t>SECTION</w:t>
            </w:r>
          </w:p>
        </w:tc>
        <w:tc>
          <w:tcPr>
            <w:tcW w:w="1320" w:type="dxa"/>
            <w:vAlign w:val="bottom"/>
          </w:tcPr>
          <w:p>
            <w:pPr>
              <w:jc w:val="right"/>
              <w:ind w:right="721"/>
              <w:spacing w:after="0"/>
              <w:rPr>
                <w:sz w:val="20"/>
                <w:szCs w:val="20"/>
                <w:color w:val="auto"/>
              </w:rPr>
            </w:pPr>
            <w:r>
              <w:rPr>
                <w:rFonts w:ascii="Arial" w:cs="Arial" w:eastAsia="Arial" w:hAnsi="Arial"/>
                <w:sz w:val="20"/>
                <w:szCs w:val="20"/>
                <w:color w:val="auto"/>
                <w:w w:val="95"/>
              </w:rPr>
              <w:t>2.4.1.</w:t>
            </w:r>
          </w:p>
        </w:tc>
        <w:tc>
          <w:tcPr>
            <w:tcW w:w="980" w:type="dxa"/>
            <w:vAlign w:val="bottom"/>
            <w:tcBorders>
              <w:top w:val="single" w:sz="8" w:color="auto"/>
            </w:tcBorders>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20"/>
                <w:szCs w:val="20"/>
                <w:color w:val="auto"/>
              </w:rPr>
              <w:t>The</w:t>
            </w:r>
          </w:p>
        </w:tc>
        <w:tc>
          <w:tcPr>
            <w:tcW w:w="860" w:type="dxa"/>
            <w:vAlign w:val="bottom"/>
          </w:tcPr>
          <w:p>
            <w:pPr>
              <w:ind w:left="60"/>
              <w:spacing w:after="0"/>
              <w:rPr>
                <w:sz w:val="20"/>
                <w:szCs w:val="20"/>
                <w:color w:val="auto"/>
              </w:rPr>
            </w:pPr>
            <w:r>
              <w:rPr>
                <w:rFonts w:ascii="Arial" w:cs="Arial" w:eastAsia="Arial" w:hAnsi="Arial"/>
                <w:sz w:val="20"/>
                <w:szCs w:val="20"/>
                <w:color w:val="auto"/>
                <w:w w:val="92"/>
              </w:rPr>
              <w:t>reference</w:t>
            </w:r>
          </w:p>
        </w:tc>
        <w:tc>
          <w:tcPr>
            <w:tcW w:w="280" w:type="dxa"/>
            <w:vAlign w:val="bottom"/>
          </w:tcPr>
          <w:p>
            <w:pPr>
              <w:ind w:left="60"/>
              <w:spacing w:after="0"/>
              <w:rPr>
                <w:sz w:val="20"/>
                <w:szCs w:val="20"/>
                <w:color w:val="auto"/>
              </w:rPr>
            </w:pPr>
            <w:r>
              <w:rPr>
                <w:rFonts w:ascii="Arial" w:cs="Arial" w:eastAsia="Arial" w:hAnsi="Arial"/>
                <w:sz w:val="20"/>
                <w:szCs w:val="20"/>
                <w:color w:val="auto"/>
              </w:rPr>
              <w:t>in</w:t>
            </w:r>
          </w:p>
        </w:tc>
        <w:tc>
          <w:tcPr>
            <w:tcW w:w="720" w:type="dxa"/>
            <w:vAlign w:val="bottom"/>
          </w:tcPr>
          <w:p>
            <w:pPr>
              <w:ind w:left="60"/>
              <w:spacing w:after="0"/>
              <w:rPr>
                <w:sz w:val="20"/>
                <w:szCs w:val="20"/>
                <w:color w:val="auto"/>
              </w:rPr>
            </w:pPr>
            <w:r>
              <w:rPr>
                <w:rFonts w:ascii="Arial" w:cs="Arial" w:eastAsia="Arial" w:hAnsi="Arial"/>
                <w:sz w:val="20"/>
                <w:szCs w:val="20"/>
                <w:color w:val="auto"/>
                <w:w w:val="95"/>
              </w:rPr>
              <w:t>Section</w:t>
            </w:r>
          </w:p>
        </w:tc>
        <w:tc>
          <w:tcPr>
            <w:tcW w:w="680" w:type="dxa"/>
            <w:vAlign w:val="bottom"/>
          </w:tcPr>
          <w:p>
            <w:pPr>
              <w:jc w:val="center"/>
              <w:spacing w:after="0"/>
              <w:rPr>
                <w:sz w:val="20"/>
                <w:szCs w:val="20"/>
                <w:color w:val="auto"/>
              </w:rPr>
            </w:pPr>
            <w:r>
              <w:rPr>
                <w:rFonts w:ascii="Arial" w:cs="Arial" w:eastAsia="Arial" w:hAnsi="Arial"/>
                <w:sz w:val="20"/>
                <w:szCs w:val="20"/>
                <w:color w:val="auto"/>
                <w:w w:val="91"/>
              </w:rPr>
              <w:t>7.02(h)</w:t>
            </w:r>
          </w:p>
        </w:tc>
        <w:tc>
          <w:tcPr>
            <w:tcW w:w="300" w:type="dxa"/>
            <w:vAlign w:val="bottom"/>
          </w:tcPr>
          <w:p>
            <w:pPr>
              <w:ind w:left="80"/>
              <w:spacing w:after="0"/>
              <w:rPr>
                <w:sz w:val="20"/>
                <w:szCs w:val="20"/>
                <w:color w:val="auto"/>
              </w:rPr>
            </w:pPr>
            <w:r>
              <w:rPr>
                <w:rFonts w:ascii="Arial" w:cs="Arial" w:eastAsia="Arial" w:hAnsi="Arial"/>
                <w:sz w:val="20"/>
                <w:szCs w:val="20"/>
                <w:color w:val="auto"/>
              </w:rPr>
              <w:t>of</w:t>
            </w:r>
          </w:p>
        </w:tc>
        <w:tc>
          <w:tcPr>
            <w:tcW w:w="360" w:type="dxa"/>
            <w:vAlign w:val="bottom"/>
          </w:tcPr>
          <w:p>
            <w:pPr>
              <w:ind w:left="60"/>
              <w:spacing w:after="0"/>
              <w:rPr>
                <w:sz w:val="20"/>
                <w:szCs w:val="20"/>
                <w:color w:val="auto"/>
              </w:rPr>
            </w:pPr>
            <w:r>
              <w:rPr>
                <w:rFonts w:ascii="Arial" w:cs="Arial" w:eastAsia="Arial" w:hAnsi="Arial"/>
                <w:sz w:val="20"/>
                <w:szCs w:val="20"/>
                <w:color w:val="auto"/>
              </w:rPr>
              <w:t>the</w:t>
            </w:r>
          </w:p>
        </w:tc>
        <w:tc>
          <w:tcPr>
            <w:tcW w:w="620" w:type="dxa"/>
            <w:vAlign w:val="bottom"/>
          </w:tcPr>
          <w:p>
            <w:pPr>
              <w:ind w:left="80"/>
              <w:spacing w:after="0"/>
              <w:rPr>
                <w:sz w:val="20"/>
                <w:szCs w:val="20"/>
                <w:color w:val="auto"/>
              </w:rPr>
            </w:pPr>
            <w:r>
              <w:rPr>
                <w:rFonts w:ascii="Arial" w:cs="Arial" w:eastAsia="Arial" w:hAnsi="Arial"/>
                <w:sz w:val="20"/>
                <w:szCs w:val="20"/>
                <w:color w:val="auto"/>
                <w:w w:val="97"/>
              </w:rPr>
              <w:t>Credit</w:t>
            </w:r>
          </w:p>
        </w:tc>
        <w:tc>
          <w:tcPr>
            <w:tcW w:w="1020" w:type="dxa"/>
            <w:vAlign w:val="bottom"/>
          </w:tcPr>
          <w:p>
            <w:pPr>
              <w:ind w:left="80"/>
              <w:spacing w:after="0"/>
              <w:rPr>
                <w:sz w:val="20"/>
                <w:szCs w:val="20"/>
                <w:color w:val="auto"/>
              </w:rPr>
            </w:pPr>
            <w:r>
              <w:rPr>
                <w:rFonts w:ascii="Arial" w:cs="Arial" w:eastAsia="Arial" w:hAnsi="Arial"/>
                <w:sz w:val="20"/>
                <w:szCs w:val="20"/>
                <w:color w:val="auto"/>
                <w:w w:val="94"/>
              </w:rPr>
              <w:t>Agreement</w:t>
            </w:r>
          </w:p>
        </w:tc>
        <w:tc>
          <w:tcPr>
            <w:tcW w:w="240" w:type="dxa"/>
            <w:vAlign w:val="bottom"/>
          </w:tcPr>
          <w:p>
            <w:pPr>
              <w:ind w:left="60"/>
              <w:spacing w:after="0"/>
              <w:rPr>
                <w:sz w:val="20"/>
                <w:szCs w:val="20"/>
                <w:color w:val="auto"/>
              </w:rPr>
            </w:pPr>
            <w:r>
              <w:rPr>
                <w:rFonts w:ascii="Arial" w:cs="Arial" w:eastAsia="Arial" w:hAnsi="Arial"/>
                <w:sz w:val="20"/>
                <w:szCs w:val="20"/>
                <w:color w:val="auto"/>
                <w:w w:val="95"/>
              </w:rPr>
              <w:t>to</w:t>
            </w:r>
          </w:p>
        </w:tc>
      </w:tr>
      <w:tr>
        <w:trPr>
          <w:trHeight w:val="250"/>
        </w:trPr>
        <w:tc>
          <w:tcPr>
            <w:tcW w:w="6360" w:type="dxa"/>
            <w:vAlign w:val="bottom"/>
            <w:gridSpan w:val="4"/>
          </w:tcPr>
          <w:p>
            <w:pPr>
              <w:ind w:left="1000"/>
              <w:spacing w:after="0"/>
              <w:rPr>
                <w:sz w:val="20"/>
                <w:szCs w:val="20"/>
                <w:color w:val="auto"/>
              </w:rPr>
            </w:pPr>
            <w:r>
              <w:rPr>
                <w:rFonts w:ascii="Arial" w:cs="Arial" w:eastAsia="Arial" w:hAnsi="Arial"/>
                <w:sz w:val="20"/>
                <w:szCs w:val="20"/>
                <w:color w:val="auto"/>
              </w:rPr>
              <w:t>“$35,000,000” is hereby replaced with “$45,000,000”.</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425"/>
        </w:trPr>
        <w:tc>
          <w:tcPr>
            <w:tcW w:w="2700" w:type="dxa"/>
            <w:vAlign w:val="bottom"/>
          </w:tcPr>
          <w:p>
            <w:pPr>
              <w:ind w:left="1800"/>
              <w:spacing w:after="0"/>
              <w:rPr>
                <w:sz w:val="20"/>
                <w:szCs w:val="20"/>
                <w:color w:val="auto"/>
              </w:rPr>
            </w:pPr>
            <w:r>
              <w:rPr>
                <w:rFonts w:ascii="Arial" w:cs="Arial" w:eastAsia="Arial" w:hAnsi="Arial"/>
                <w:sz w:val="20"/>
                <w:szCs w:val="20"/>
                <w:color w:val="auto"/>
                <w:w w:val="98"/>
              </w:rPr>
              <w:t>SECTION</w:t>
            </w:r>
          </w:p>
        </w:tc>
        <w:tc>
          <w:tcPr>
            <w:tcW w:w="1320" w:type="dxa"/>
            <w:vAlign w:val="bottom"/>
          </w:tcPr>
          <w:p>
            <w:pPr>
              <w:jc w:val="right"/>
              <w:ind w:right="721"/>
              <w:spacing w:after="0"/>
              <w:rPr>
                <w:sz w:val="20"/>
                <w:szCs w:val="20"/>
                <w:color w:val="auto"/>
              </w:rPr>
            </w:pPr>
            <w:r>
              <w:rPr>
                <w:rFonts w:ascii="Arial" w:cs="Arial" w:eastAsia="Arial" w:hAnsi="Arial"/>
                <w:sz w:val="20"/>
                <w:szCs w:val="20"/>
                <w:color w:val="auto"/>
                <w:w w:val="95"/>
              </w:rPr>
              <w:t>2.4.2.</w:t>
            </w:r>
          </w:p>
        </w:tc>
        <w:tc>
          <w:tcPr>
            <w:tcW w:w="98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20"/>
                <w:szCs w:val="20"/>
                <w:color w:val="auto"/>
              </w:rPr>
              <w:t>The</w:t>
            </w:r>
          </w:p>
        </w:tc>
        <w:tc>
          <w:tcPr>
            <w:tcW w:w="860" w:type="dxa"/>
            <w:vAlign w:val="bottom"/>
          </w:tcPr>
          <w:p>
            <w:pPr>
              <w:ind w:left="60"/>
              <w:spacing w:after="0"/>
              <w:rPr>
                <w:sz w:val="20"/>
                <w:szCs w:val="20"/>
                <w:color w:val="auto"/>
              </w:rPr>
            </w:pPr>
            <w:r>
              <w:rPr>
                <w:rFonts w:ascii="Arial" w:cs="Arial" w:eastAsia="Arial" w:hAnsi="Arial"/>
                <w:sz w:val="20"/>
                <w:szCs w:val="20"/>
                <w:color w:val="auto"/>
                <w:w w:val="92"/>
              </w:rPr>
              <w:t>reference</w:t>
            </w:r>
          </w:p>
        </w:tc>
        <w:tc>
          <w:tcPr>
            <w:tcW w:w="280" w:type="dxa"/>
            <w:vAlign w:val="bottom"/>
          </w:tcPr>
          <w:p>
            <w:pPr>
              <w:ind w:left="80"/>
              <w:spacing w:after="0"/>
              <w:rPr>
                <w:sz w:val="20"/>
                <w:szCs w:val="20"/>
                <w:color w:val="auto"/>
              </w:rPr>
            </w:pPr>
            <w:r>
              <w:rPr>
                <w:rFonts w:ascii="Arial" w:cs="Arial" w:eastAsia="Arial" w:hAnsi="Arial"/>
                <w:sz w:val="20"/>
                <w:szCs w:val="20"/>
                <w:color w:val="auto"/>
              </w:rPr>
              <w:t>in</w:t>
            </w:r>
          </w:p>
        </w:tc>
        <w:tc>
          <w:tcPr>
            <w:tcW w:w="720" w:type="dxa"/>
            <w:vAlign w:val="bottom"/>
          </w:tcPr>
          <w:p>
            <w:pPr>
              <w:ind w:left="80"/>
              <w:spacing w:after="0"/>
              <w:rPr>
                <w:sz w:val="20"/>
                <w:szCs w:val="20"/>
                <w:color w:val="auto"/>
              </w:rPr>
            </w:pPr>
            <w:r>
              <w:rPr>
                <w:rFonts w:ascii="Arial" w:cs="Arial" w:eastAsia="Arial" w:hAnsi="Arial"/>
                <w:sz w:val="20"/>
                <w:szCs w:val="20"/>
                <w:color w:val="auto"/>
                <w:w w:val="92"/>
              </w:rPr>
              <w:t>Section</w:t>
            </w:r>
          </w:p>
        </w:tc>
        <w:tc>
          <w:tcPr>
            <w:tcW w:w="680" w:type="dxa"/>
            <w:vAlign w:val="bottom"/>
          </w:tcPr>
          <w:p>
            <w:pPr>
              <w:jc w:val="center"/>
              <w:spacing w:after="0"/>
              <w:rPr>
                <w:sz w:val="20"/>
                <w:szCs w:val="20"/>
                <w:color w:val="auto"/>
              </w:rPr>
            </w:pPr>
            <w:r>
              <w:rPr>
                <w:rFonts w:ascii="Arial" w:cs="Arial" w:eastAsia="Arial" w:hAnsi="Arial"/>
                <w:sz w:val="20"/>
                <w:szCs w:val="20"/>
                <w:color w:val="auto"/>
                <w:w w:val="95"/>
              </w:rPr>
              <w:t>7.02(i)</w:t>
            </w:r>
          </w:p>
        </w:tc>
        <w:tc>
          <w:tcPr>
            <w:tcW w:w="300" w:type="dxa"/>
            <w:vAlign w:val="bottom"/>
          </w:tcPr>
          <w:p>
            <w:pPr>
              <w:ind w:left="60"/>
              <w:spacing w:after="0"/>
              <w:rPr>
                <w:sz w:val="20"/>
                <w:szCs w:val="20"/>
                <w:color w:val="auto"/>
              </w:rPr>
            </w:pPr>
            <w:r>
              <w:rPr>
                <w:rFonts w:ascii="Arial" w:cs="Arial" w:eastAsia="Arial" w:hAnsi="Arial"/>
                <w:sz w:val="20"/>
                <w:szCs w:val="20"/>
                <w:color w:val="auto"/>
              </w:rPr>
              <w:t>of</w:t>
            </w:r>
          </w:p>
        </w:tc>
        <w:tc>
          <w:tcPr>
            <w:tcW w:w="360" w:type="dxa"/>
            <w:vAlign w:val="bottom"/>
          </w:tcPr>
          <w:p>
            <w:pPr>
              <w:ind w:left="60"/>
              <w:spacing w:after="0"/>
              <w:rPr>
                <w:sz w:val="20"/>
                <w:szCs w:val="20"/>
                <w:color w:val="auto"/>
              </w:rPr>
            </w:pPr>
            <w:r>
              <w:rPr>
                <w:rFonts w:ascii="Arial" w:cs="Arial" w:eastAsia="Arial" w:hAnsi="Arial"/>
                <w:sz w:val="20"/>
                <w:szCs w:val="20"/>
                <w:color w:val="auto"/>
              </w:rPr>
              <w:t>the</w:t>
            </w:r>
          </w:p>
        </w:tc>
        <w:tc>
          <w:tcPr>
            <w:tcW w:w="620" w:type="dxa"/>
            <w:vAlign w:val="bottom"/>
          </w:tcPr>
          <w:p>
            <w:pPr>
              <w:ind w:left="80"/>
              <w:spacing w:after="0"/>
              <w:rPr>
                <w:sz w:val="20"/>
                <w:szCs w:val="20"/>
                <w:color w:val="auto"/>
              </w:rPr>
            </w:pPr>
            <w:r>
              <w:rPr>
                <w:rFonts w:ascii="Arial" w:cs="Arial" w:eastAsia="Arial" w:hAnsi="Arial"/>
                <w:sz w:val="20"/>
                <w:szCs w:val="20"/>
                <w:color w:val="auto"/>
                <w:w w:val="97"/>
              </w:rPr>
              <w:t>Credit</w:t>
            </w:r>
          </w:p>
        </w:tc>
        <w:tc>
          <w:tcPr>
            <w:tcW w:w="1020" w:type="dxa"/>
            <w:vAlign w:val="bottom"/>
          </w:tcPr>
          <w:p>
            <w:pPr>
              <w:ind w:left="80"/>
              <w:spacing w:after="0"/>
              <w:rPr>
                <w:sz w:val="20"/>
                <w:szCs w:val="20"/>
                <w:color w:val="auto"/>
              </w:rPr>
            </w:pPr>
            <w:r>
              <w:rPr>
                <w:rFonts w:ascii="Arial" w:cs="Arial" w:eastAsia="Arial" w:hAnsi="Arial"/>
                <w:sz w:val="20"/>
                <w:szCs w:val="20"/>
                <w:color w:val="auto"/>
                <w:w w:val="94"/>
              </w:rPr>
              <w:t>Agreement</w:t>
            </w:r>
          </w:p>
        </w:tc>
        <w:tc>
          <w:tcPr>
            <w:tcW w:w="240" w:type="dxa"/>
            <w:vAlign w:val="bottom"/>
          </w:tcPr>
          <w:p>
            <w:pPr>
              <w:ind w:left="60"/>
              <w:spacing w:after="0"/>
              <w:rPr>
                <w:sz w:val="20"/>
                <w:szCs w:val="20"/>
                <w:color w:val="auto"/>
              </w:rPr>
            </w:pPr>
            <w:r>
              <w:rPr>
                <w:rFonts w:ascii="Arial" w:cs="Arial" w:eastAsia="Arial" w:hAnsi="Arial"/>
                <w:sz w:val="20"/>
                <w:szCs w:val="20"/>
                <w:color w:val="auto"/>
                <w:w w:val="95"/>
              </w:rPr>
              <w:t>to</w:t>
            </w:r>
          </w:p>
        </w:tc>
      </w:tr>
      <w:tr>
        <w:trPr>
          <w:trHeight w:val="250"/>
        </w:trPr>
        <w:tc>
          <w:tcPr>
            <w:tcW w:w="6360" w:type="dxa"/>
            <w:vAlign w:val="bottom"/>
            <w:gridSpan w:val="4"/>
          </w:tcPr>
          <w:p>
            <w:pPr>
              <w:ind w:left="1000"/>
              <w:spacing w:after="0"/>
              <w:rPr>
                <w:sz w:val="20"/>
                <w:szCs w:val="20"/>
                <w:color w:val="auto"/>
              </w:rPr>
            </w:pPr>
            <w:r>
              <w:rPr>
                <w:rFonts w:ascii="Arial" w:cs="Arial" w:eastAsia="Arial" w:hAnsi="Arial"/>
                <w:sz w:val="20"/>
                <w:szCs w:val="20"/>
                <w:color w:val="auto"/>
              </w:rPr>
              <w:t>“$50,000,000” is hereby replaced with “$75,000,000”.</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9"/>
        </w:trPr>
        <w:tc>
          <w:tcPr>
            <w:tcW w:w="270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p>
      <w:pPr>
        <w:ind w:firstLine="877"/>
        <w:spacing w:after="0" w:line="262" w:lineRule="auto"/>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Section 7.03</w:t>
      </w:r>
      <w:r>
        <w:rPr>
          <w:rFonts w:ascii="Arial" w:cs="Arial" w:eastAsia="Arial" w:hAnsi="Arial"/>
          <w:sz w:val="20"/>
          <w:szCs w:val="20"/>
          <w:color w:val="auto"/>
        </w:rPr>
        <w:t>. Section 7.03 of the Credit Agreement is hereby amended to replace the reference in Section 7.03(l) of the Credit Agreement to “$10,000,000” with “$25,000,000”.</w:t>
      </w:r>
    </w:p>
    <w:p>
      <w:pPr>
        <w:spacing w:after="0" w:line="174"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Article IX</w:t>
      </w:r>
      <w:r>
        <w:rPr>
          <w:rFonts w:ascii="Arial" w:cs="Arial" w:eastAsia="Arial" w:hAnsi="Arial"/>
          <w:sz w:val="20"/>
          <w:szCs w:val="20"/>
          <w:color w:val="auto"/>
        </w:rPr>
        <w:t>. A new Section 9.13 is hereby added to Article IX of the Credit Agreement immediately following Section 9.12of the Credit Agreement to read as follows:</w:t>
      </w:r>
    </w:p>
    <w:p>
      <w:pPr>
        <w:spacing w:after="0" w:line="171" w:lineRule="exact"/>
        <w:rPr>
          <w:sz w:val="20"/>
          <w:szCs w:val="20"/>
          <w:color w:val="auto"/>
        </w:rPr>
      </w:pPr>
    </w:p>
    <w:p>
      <w:pPr>
        <w:ind w:left="1700"/>
        <w:spacing w:after="0"/>
        <w:tabs>
          <w:tab w:leader="none" w:pos="2680" w:val="left"/>
        </w:tabs>
        <w:rPr>
          <w:sz w:val="20"/>
          <w:szCs w:val="20"/>
          <w:color w:val="auto"/>
        </w:rPr>
      </w:pPr>
      <w:r>
        <w:rPr>
          <w:rFonts w:ascii="Arial" w:cs="Arial" w:eastAsia="Arial" w:hAnsi="Arial"/>
          <w:sz w:val="20"/>
          <w:szCs w:val="20"/>
          <w:b w:val="1"/>
          <w:bCs w:val="1"/>
          <w:color w:val="auto"/>
        </w:rPr>
        <w:t>9.13</w:t>
      </w:r>
      <w:r>
        <w:rPr>
          <w:sz w:val="20"/>
          <w:szCs w:val="20"/>
          <w:color w:val="auto"/>
        </w:rPr>
        <w:tab/>
      </w:r>
      <w:r>
        <w:rPr>
          <w:rFonts w:ascii="Arial" w:cs="Arial" w:eastAsia="Arial" w:hAnsi="Arial"/>
          <w:sz w:val="18"/>
          <w:szCs w:val="18"/>
          <w:b w:val="1"/>
          <w:bCs w:val="1"/>
          <w:color w:val="auto"/>
        </w:rPr>
        <w:t>ERISA Matters.</w:t>
      </w:r>
    </w:p>
    <w:p>
      <w:pPr>
        <w:spacing w:after="0" w:line="222" w:lineRule="exact"/>
        <w:rPr>
          <w:sz w:val="20"/>
          <w:szCs w:val="20"/>
          <w:color w:val="auto"/>
        </w:rPr>
      </w:pPr>
    </w:p>
    <w:p>
      <w:pPr>
        <w:jc w:val="both"/>
        <w:ind w:left="1760" w:firstLine="746"/>
        <w:spacing w:after="0" w:line="268" w:lineRule="auto"/>
        <w:tabs>
          <w:tab w:leader="none" w:pos="3371"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Lender (i) represents and warrants, as of the date such Person became a Lender party hereto, and (ii) covenants, from the date such Person became a Lender party hereto to the date such Person ceases being a Lender party hereto, for the benefit of the Administrative Agent, the Arranger, and their respective Affiliates, and not, for the avoidance of doubt, to or for the benefit of any Loan Party, that at least one of the following is and will be true: (A) such Lender is not using “plan assets” (within the meaning of 29 CFR § 2510.3-101, as modified by Section 3(42) of ERISA) of one or more Benefit Plans in connection with the Loans, the Letters of Credit, or the Commitments; (B)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(C)(1) such Lender is an investment fund managed by a “Qualified Professional Asset Manager” (within the meaning of Part VI of PTE 84-14), (2) such Qualified Professional Asset Manager made the investment decision on behalf of such Lender to enter into, participate in, administer and perform the Loans, the Letters of Credit, the Commitments and this Agreement, (3) the entrance into, participation in, administration of and performance of the Loans, the Letters of Credit, the Commitments and this Agreement satisfies the requirements of subsections (b) through (g) of Part I of PTE 84-14, and (4) to the best knowledge of such Lender, the requirements of subsection (a) of Part I of PTE 84-14 are satisfied with respect to such Lender’s entrance into, participation in, administration of and performance of the Loans, the Letters of Credit, the Commitments and this Agreement; or (D) such other representation, warranty and covenant as may be agreed in writing between the Administrative Agent, in its sole discretion, and such Lender.</w:t>
      </w:r>
    </w:p>
    <w:p>
      <w:pPr>
        <w:spacing w:after="0" w:line="182" w:lineRule="exact"/>
        <w:rPr>
          <w:rFonts w:ascii="Arial" w:cs="Arial" w:eastAsia="Arial" w:hAnsi="Arial"/>
          <w:sz w:val="18"/>
          <w:szCs w:val="18"/>
          <w:color w:val="auto"/>
        </w:rPr>
      </w:pPr>
    </w:p>
    <w:p>
      <w:pPr>
        <w:jc w:val="both"/>
        <w:ind w:left="1760" w:firstLine="746"/>
        <w:spacing w:after="0" w:line="271" w:lineRule="auto"/>
        <w:tabs>
          <w:tab w:leader="none" w:pos="338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addition, unless </w:t>
      </w:r>
      <w:r>
        <w:rPr>
          <w:rFonts w:ascii="Arial" w:cs="Arial" w:eastAsia="Arial" w:hAnsi="Arial"/>
          <w:sz w:val="18"/>
          <w:szCs w:val="18"/>
          <w:u w:val="single" w:color="auto"/>
          <w:color w:val="auto"/>
        </w:rPr>
        <w:t>subclause (A)</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is true with respect to a Lender or such Lender has not provided another representation, warranty and covenant as provided in </w:t>
      </w:r>
      <w:r>
        <w:rPr>
          <w:rFonts w:ascii="Arial" w:cs="Arial" w:eastAsia="Arial" w:hAnsi="Arial"/>
          <w:sz w:val="18"/>
          <w:szCs w:val="18"/>
          <w:u w:val="single" w:color="auto"/>
          <w:color w:val="auto"/>
        </w:rPr>
        <w:t>subclause (D)</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such Lender further (i) represents and warrants, as of the date such Person became a Lender party hereto, and (ii) covenants, from the date such Person became a Lender party hereto to the date such Person ceases being a Lender party hereto, for the benefit of, the Administrative Agent, the Arranger, and their respective Affiliates, and not, for the avoidance of doubt, to or for the benefit of any Loan Party, that: (A) none of the Administrative Agent, the Arranger, or any of their respective Affiliates is a fiduciary with respect to the assets of such Lender (including in connection with the reservation or exercise of any rights by the Administrative Agent under this Agreement, any other Loan Document or any documents related to hereto or thereto); (B) the Person making the investment decision on behalf of such Lender with respect to the entrance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both"/>
        <w:ind w:left="1760"/>
        <w:spacing w:after="0" w:line="270" w:lineRule="auto"/>
        <w:rPr>
          <w:sz w:val="20"/>
          <w:szCs w:val="20"/>
          <w:color w:val="auto"/>
        </w:rPr>
      </w:pPr>
      <w:r>
        <w:rPr>
          <w:rFonts w:ascii="Arial" w:cs="Arial" w:eastAsia="Arial" w:hAnsi="Arial"/>
          <w:sz w:val="18"/>
          <w:szCs w:val="18"/>
          <w:color w:val="auto"/>
        </w:rPr>
        <w:t>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 (C) 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 (D) 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 (E) no fee or other compensation is being paid directly to the Administrative Agent, the Arranger, or any their respective Affiliates for investment advice (as opposed to other services) in connection with the Loans, the Letters of Credit, the Commitments or this Agreement.</w:t>
      </w:r>
    </w:p>
    <w:p>
      <w:pPr>
        <w:spacing w:after="0" w:line="171" w:lineRule="exact"/>
        <w:rPr>
          <w:sz w:val="20"/>
          <w:szCs w:val="20"/>
          <w:color w:val="auto"/>
        </w:rPr>
      </w:pPr>
    </w:p>
    <w:p>
      <w:pPr>
        <w:jc w:val="both"/>
        <w:ind w:left="1760" w:firstLine="746"/>
        <w:spacing w:after="0" w:line="270" w:lineRule="auto"/>
        <w:tabs>
          <w:tab w:leader="none" w:pos="3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Administrative Agent and the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7" w:lineRule="exact"/>
        <w:rPr>
          <w:sz w:val="20"/>
          <w:szCs w:val="20"/>
          <w:color w:val="auto"/>
        </w:rPr>
      </w:pPr>
    </w:p>
    <w:p>
      <w:pPr>
        <w:ind w:left="880"/>
        <w:spacing w:after="0"/>
        <w:tabs>
          <w:tab w:leader="none" w:pos="402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Section 11.01</w:t>
      </w:r>
      <w:r>
        <w:rPr>
          <w:rFonts w:ascii="Arial" w:cs="Arial" w:eastAsia="Arial" w:hAnsi="Arial"/>
          <w:sz w:val="18"/>
          <w:szCs w:val="18"/>
          <w:color w:val="auto"/>
        </w:rPr>
        <w:t>.  The language preceding the first proviso in the first paragraph of Section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11.01 of the Credit Agreement is hereby amended to read as follows:</w:t>
      </w:r>
    </w:p>
    <w:p>
      <w:pPr>
        <w:spacing w:after="0" w:line="200" w:lineRule="exact"/>
        <w:rPr>
          <w:sz w:val="20"/>
          <w:szCs w:val="20"/>
          <w:color w:val="auto"/>
        </w:rPr>
      </w:pPr>
    </w:p>
    <w:p>
      <w:pPr>
        <w:jc w:val="both"/>
        <w:ind w:left="880"/>
        <w:spacing w:after="0" w:line="244" w:lineRule="auto"/>
        <w:rPr>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3.07</w:t>
      </w:r>
      <w:r>
        <w:rPr>
          <w:rFonts w:ascii="Arial" w:cs="Arial" w:eastAsia="Arial" w:hAnsi="Arial"/>
          <w:sz w:val="20"/>
          <w:szCs w:val="20"/>
          <w:color w:val="auto"/>
        </w:rPr>
        <w:t>, no amendment or waiver of any provision of this Agreement or any other Loan Document, and no consent to any departure by any Borrower or any other Loan Party therefrom, shall be effective unless in writing signed by the Required Lenders and the applicable Borrower or the applicable Loan Party, as the case may be, and acknowledged by the Administrative Agent, and each such waiver or consent shall be effective only in the specific instance and for the specific purpose for which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ARTICLE III.</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TO EFFECTIVENESS; PAYMENT OF EXPENSES</w:t>
      </w:r>
    </w:p>
    <w:p>
      <w:pPr>
        <w:spacing w:after="0" w:line="216" w:lineRule="exact"/>
        <w:rPr>
          <w:sz w:val="20"/>
          <w:szCs w:val="20"/>
          <w:color w:val="auto"/>
        </w:rPr>
      </w:pPr>
    </w:p>
    <w:p>
      <w:pPr>
        <w:ind w:left="880"/>
        <w:spacing w:after="0"/>
        <w:tabs>
          <w:tab w:leader="none" w:pos="402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Agreement shall become effective upon and subject to</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receipt by the Administrative Agent of counterparts of this Agreement duly executed by each Borrower, each Guarantor, the Required Lenders, and the Administrative Agent.</w:t>
      </w:r>
    </w:p>
    <w:p>
      <w:pPr>
        <w:spacing w:after="0" w:line="19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 xml:space="preserve">SECTION 3.2. </w:t>
      </w:r>
      <w:r>
        <w:rPr>
          <w:rFonts w:ascii="Arial" w:cs="Arial" w:eastAsia="Arial" w:hAnsi="Arial"/>
          <w:sz w:val="20"/>
          <w:szCs w:val="20"/>
          <w:u w:val="single" w:color="auto"/>
          <w:color w:val="auto"/>
        </w:rPr>
        <w:t>Payment of Expenses</w:t>
      </w:r>
      <w:r>
        <w:rPr>
          <w:rFonts w:ascii="Arial" w:cs="Arial" w:eastAsia="Arial" w:hAnsi="Arial"/>
          <w:sz w:val="20"/>
          <w:szCs w:val="20"/>
          <w:color w:val="auto"/>
        </w:rPr>
        <w:t>. The Company agrees to reimburse the Administrative Agent for all reasonable out-of-pocket expenses incurred by the Administrative Agent in connection with the preparation, execution and delivery of this Agreement, including the reasonable fees, charges and disbursements of Moore &amp; Van Allen PLLC.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 OF THIS AGREEMENT; REAFFIRMATION</w:t>
      </w:r>
    </w:p>
    <w:p>
      <w:pPr>
        <w:spacing w:after="0" w:line="216" w:lineRule="exact"/>
        <w:rPr>
          <w:sz w:val="20"/>
          <w:szCs w:val="20"/>
          <w:color w:val="auto"/>
        </w:rPr>
      </w:pPr>
    </w:p>
    <w:p>
      <w:pPr>
        <w:ind w:left="880"/>
        <w:spacing w:after="0"/>
        <w:tabs>
          <w:tab w:leader="none" w:pos="400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8"/>
          <w:szCs w:val="18"/>
          <w:u w:val="single" w:color="auto"/>
          <w:color w:val="auto"/>
        </w:rPr>
        <w:t>Effect of this Agreement</w:t>
      </w:r>
      <w:r>
        <w:rPr>
          <w:rFonts w:ascii="Arial" w:cs="Arial" w:eastAsia="Arial" w:hAnsi="Arial"/>
          <w:sz w:val="18"/>
          <w:szCs w:val="18"/>
          <w:color w:val="auto"/>
        </w:rPr>
        <w:t>. Except as expressly modified and amended in this Agreement, all</w:t>
      </w:r>
    </w:p>
    <w:p>
      <w:pPr>
        <w:spacing w:after="0" w:line="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of the terms, provisions and conditions of the Loan Documents shall remain unchanged and in full force and effect. The Loan Documents and any and all other documents heretofore, now or hereafter executed and delivered pursuant to the terms of the Credit Agreement are hereby amended so that any reference to the Credit Agreement shall mean a reference to the Credit Agreement, as amended by this Agreement.</w:t>
      </w:r>
    </w:p>
    <w:p>
      <w:pPr>
        <w:spacing w:after="0" w:line="159"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Reaffirmation</w:t>
      </w:r>
      <w:r>
        <w:rPr>
          <w:rFonts w:ascii="Arial" w:cs="Arial" w:eastAsia="Arial" w:hAnsi="Arial"/>
          <w:sz w:val="19"/>
          <w:szCs w:val="19"/>
          <w:color w:val="auto"/>
        </w:rPr>
        <w:t>. Each Loan Party hereby (a) restates, ratifies and reaffirms each and every term and condition set forth in, and its obligations under, the Credit Agreement and the other Loan Documents as of the date hereof, and (b) acknowledges and agrees that the Liens granted under the Collateral Documents continue to secure the full payment and performance of the Obligations. Each Guarantor (i) hereby acknowledges and consents to all of the terms and conditions of this Agreement, (ii) affirms all of its obligations under the Loan Documents and (iii) agrees that this Agreement and all documents executed in connection herewith do not operate to reduce or discharge its obligations under the Credit Agreement or the other Loan Documents.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Cross-References</w:t>
      </w:r>
      <w:r>
        <w:rPr>
          <w:rFonts w:ascii="Arial" w:cs="Arial" w:eastAsia="Arial" w:hAnsi="Arial"/>
          <w:sz w:val="20"/>
          <w:szCs w:val="20"/>
          <w:color w:val="auto"/>
        </w:rPr>
        <w:t>. References in this Agreement to any Article or Section are, unless otherwise specified, to such Article or Section of this Agreement.</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Loan Document Pursuant to Credit Agreement</w:t>
      </w:r>
      <w:r>
        <w:rPr>
          <w:rFonts w:ascii="Arial" w:cs="Arial" w:eastAsia="Arial" w:hAnsi="Arial"/>
          <w:sz w:val="20"/>
          <w:szCs w:val="20"/>
          <w:color w:val="auto"/>
        </w:rPr>
        <w:t>. This Agreement is a Loan Document executed pursuant to the Credit Agreement and shall (unless otherwise expressly indicated therein) be construed, administered and applied in accordance with all of the terms and provisions of the Credit Agreement, including Article XI thereof.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880"/>
              <w:spacing w:after="0"/>
              <w:rPr>
                <w:sz w:val="20"/>
                <w:szCs w:val="20"/>
                <w:color w:val="auto"/>
              </w:rPr>
            </w:pPr>
            <w:r>
              <w:rPr>
                <w:rFonts w:ascii="Arial" w:cs="Arial" w:eastAsia="Arial" w:hAnsi="Arial"/>
                <w:sz w:val="20"/>
                <w:szCs w:val="20"/>
                <w:color w:val="auto"/>
              </w:rPr>
              <w:t>SECTION 5.3.</w:t>
            </w:r>
          </w:p>
        </w:tc>
        <w:tc>
          <w:tcPr>
            <w:tcW w:w="7380" w:type="dxa"/>
            <w:vAlign w:val="bottom"/>
            <w:gridSpan w:val="3"/>
          </w:tcPr>
          <w:p>
            <w:pPr>
              <w:jc w:val="right"/>
              <w:spacing w:after="0"/>
              <w:rPr>
                <w:sz w:val="20"/>
                <w:szCs w:val="20"/>
                <w:color w:val="auto"/>
              </w:rPr>
            </w:pPr>
            <w:r>
              <w:rPr>
                <w:rFonts w:ascii="Arial" w:cs="Arial" w:eastAsia="Arial" w:hAnsi="Arial"/>
                <w:sz w:val="20"/>
                <w:szCs w:val="20"/>
                <w:color w:val="auto"/>
                <w:w w:val="92"/>
              </w:rPr>
              <w:t>Successors and Assigns. This Agreement shall be binding upon and inure to the benefit of</w:t>
            </w:r>
          </w:p>
        </w:tc>
      </w:tr>
      <w:tr>
        <w:trPr>
          <w:trHeight w:val="20"/>
        </w:trPr>
        <w:tc>
          <w:tcPr>
            <w:tcW w:w="404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54"/>
        </w:trPr>
        <w:tc>
          <w:tcPr>
            <w:tcW w:w="11420" w:type="dxa"/>
            <w:vAlign w:val="bottom"/>
            <w:gridSpan w:val="4"/>
          </w:tcPr>
          <w:p>
            <w:pPr>
              <w:spacing w:after="0"/>
              <w:rPr>
                <w:sz w:val="20"/>
                <w:szCs w:val="20"/>
                <w:color w:val="auto"/>
              </w:rPr>
            </w:pPr>
            <w:r>
              <w:rPr>
                <w:rFonts w:ascii="Arial" w:cs="Arial" w:eastAsia="Arial" w:hAnsi="Arial"/>
                <w:sz w:val="20"/>
                <w:szCs w:val="20"/>
                <w:color w:val="auto"/>
              </w:rPr>
              <w:t>the parties hereto and their respective successors and assigns.</w:t>
            </w:r>
          </w:p>
        </w:tc>
      </w:tr>
      <w:tr>
        <w:trPr>
          <w:trHeight w:val="401"/>
        </w:trPr>
        <w:tc>
          <w:tcPr>
            <w:tcW w:w="4040" w:type="dxa"/>
            <w:vAlign w:val="bottom"/>
          </w:tcPr>
          <w:p>
            <w:pPr>
              <w:ind w:left="880"/>
              <w:spacing w:after="0"/>
              <w:rPr>
                <w:sz w:val="20"/>
                <w:szCs w:val="20"/>
                <w:color w:val="auto"/>
              </w:rPr>
            </w:pPr>
            <w:r>
              <w:rPr>
                <w:rFonts w:ascii="Arial" w:cs="Arial" w:eastAsia="Arial" w:hAnsi="Arial"/>
                <w:sz w:val="20"/>
                <w:szCs w:val="20"/>
                <w:color w:val="auto"/>
              </w:rPr>
              <w:t>SECTION 5.4.</w:t>
            </w:r>
          </w:p>
        </w:tc>
        <w:tc>
          <w:tcPr>
            <w:tcW w:w="7380" w:type="dxa"/>
            <w:vAlign w:val="bottom"/>
            <w:gridSpan w:val="3"/>
          </w:tcPr>
          <w:p>
            <w:pPr>
              <w:jc w:val="right"/>
              <w:ind w:right="20"/>
              <w:spacing w:after="0"/>
              <w:rPr>
                <w:sz w:val="20"/>
                <w:szCs w:val="20"/>
                <w:color w:val="auto"/>
              </w:rPr>
            </w:pPr>
            <w:r>
              <w:rPr>
                <w:rFonts w:ascii="Arial" w:cs="Arial" w:eastAsia="Arial" w:hAnsi="Arial"/>
                <w:sz w:val="20"/>
                <w:szCs w:val="20"/>
                <w:color w:val="auto"/>
                <w:w w:val="94"/>
              </w:rPr>
              <w:t>Counterparts. This Agreement may be executed in counterparts (and by different parties</w:t>
            </w:r>
          </w:p>
        </w:tc>
      </w:tr>
      <w:tr>
        <w:trPr>
          <w:trHeight w:val="20"/>
        </w:trPr>
        <w:tc>
          <w:tcPr>
            <w:tcW w:w="4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hereto in different counterparts), each of which shall constitute an original, but all of which when taken together shall constitute a single contract. Delivery of an executed counterpart of a signature page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20"/>
          <w:szCs w:val="20"/>
          <w:color w:val="auto"/>
        </w:rPr>
        <w:t>this Agreement by telecopy or other electronic imaging means shall be effective as delivery of a manually executed counterpart of this Agreement.</w:t>
      </w:r>
    </w:p>
    <w:p>
      <w:pPr>
        <w:spacing w:after="0" w:line="17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9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Full Force and Effect</w:t>
      </w:r>
      <w:r>
        <w:rPr>
          <w:rFonts w:ascii="Arial" w:cs="Arial" w:eastAsia="Arial" w:hAnsi="Arial"/>
          <w:sz w:val="20"/>
          <w:szCs w:val="20"/>
          <w:color w:val="auto"/>
        </w:rPr>
        <w:t>. Except as expressly amended hereby, all of the representations, warranties, terms, covenants, conditions and other provisions of the Credit Agreement and the other Loan Documents shall remain unchanged and shall continue to be, and shall remain, in full force and effect in accordance with their respective terms. The amendments set forth herein shall be limited precisely as provided for herein to the provisions expressly amended herein and shall not be deemed to be an amendment to or modification of any other term or provision of the Credit Agreement or any other Loan Document or of any transaction or further or future action on the part of any Loan Party which would require the consent of the Lenders under the Credit Agreement or any of the Loan Documents.</w:t>
      </w:r>
    </w:p>
    <w:p>
      <w:pPr>
        <w:spacing w:after="0" w:line="193" w:lineRule="exact"/>
        <w:rPr>
          <w:sz w:val="20"/>
          <w:szCs w:val="20"/>
          <w:color w:val="auto"/>
        </w:rPr>
      </w:pPr>
    </w:p>
    <w:p>
      <w:pPr>
        <w:ind w:left="880"/>
        <w:spacing w:after="0"/>
        <w:tabs>
          <w:tab w:leader="none" w:pos="4020" w:val="left"/>
        </w:tabs>
        <w:rPr>
          <w:sz w:val="20"/>
          <w:szCs w:val="20"/>
          <w:color w:val="auto"/>
        </w:rPr>
      </w:pPr>
      <w:r>
        <w:rPr>
          <w:rFonts w:ascii="Arial" w:cs="Arial" w:eastAsia="Arial" w:hAnsi="Arial"/>
          <w:sz w:val="20"/>
          <w:szCs w:val="20"/>
          <w:color w:val="auto"/>
        </w:rPr>
        <w:t>SECTION 5.7.</w:t>
      </w:r>
      <w:r>
        <w:rPr>
          <w:sz w:val="20"/>
          <w:szCs w:val="20"/>
          <w:color w:val="auto"/>
        </w:rPr>
        <w:tab/>
      </w:r>
      <w:r>
        <w:rPr>
          <w:rFonts w:ascii="Arial" w:cs="Arial" w:eastAsia="Arial" w:hAnsi="Arial"/>
          <w:sz w:val="18"/>
          <w:szCs w:val="18"/>
          <w:u w:val="single" w:color="auto"/>
          <w:color w:val="auto"/>
        </w:rPr>
        <w:t>Miscellaneous</w:t>
      </w:r>
      <w:r>
        <w:rPr>
          <w:rFonts w:ascii="Arial" w:cs="Arial" w:eastAsia="Arial" w:hAnsi="Arial"/>
          <w:sz w:val="18"/>
          <w:szCs w:val="18"/>
          <w:color w:val="auto"/>
        </w:rPr>
        <w:t>.  Each Loan Party that is a party hereto hereby represents and warrants as</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follows: (a) the execution, delivery and performance by such Loan Party of this Agreement has been duly authorized by all necessary corporate or other organizational action, (b) such Loan Party has all requisite power and authority and all requisite governmental licenses, authorizations, consents and approvals to execute, deliver and perform its obligations under this Agreement and to consummate the transactions contemplated hereby, (c) this Agreement has been duly executed and delivered by such Loan Party and constitutes such Loan Party’s legal, valid and binding obligation, enforceable in accordance with its terms, and (d) no approval, consent, exemption, authorization, or other action by, or notice to, or filing with, any Governmental Authority or any other Person is necessary or required in connection with execution, delivery or performance by, or enforcement against, such Loan Party of this Agreement, or for the consummation of the transactions contemplated hereby.</w:t>
      </w:r>
    </w:p>
    <w:p>
      <w:pPr>
        <w:spacing w:after="0" w:line="171"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SECTION 5.8. </w:t>
      </w:r>
      <w:r>
        <w:rPr>
          <w:rFonts w:ascii="Arial" w:cs="Arial" w:eastAsia="Arial" w:hAnsi="Arial"/>
          <w:sz w:val="20"/>
          <w:szCs w:val="20"/>
          <w:u w:val="single" w:color="auto"/>
          <w:color w:val="auto"/>
        </w:rPr>
        <w:t>Lender Representations, Warranties and Covenants</w:t>
      </w:r>
      <w:r>
        <w:rPr>
          <w:rFonts w:ascii="Arial" w:cs="Arial" w:eastAsia="Arial" w:hAnsi="Arial"/>
          <w:sz w:val="20"/>
          <w:szCs w:val="20"/>
          <w:color w:val="auto"/>
        </w:rPr>
        <w:t>. Each Lender party hereto represents and warrants that, after giving effect to this Agreement, the representations and warranties of such Lender set forth in the Credit Agreement (as amended by this Agreement) are true and correct as of the date of this Agreement. Each Lender party hereto hereby agrees to comply with the covenants applicable to such Lender set forth in the Credit Agreement (as amended by this Agreement).</w:t>
      </w:r>
    </w:p>
    <w:p>
      <w:pPr>
        <w:spacing w:after="0" w:line="192"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u w:val="single" w:color="auto"/>
          <w:color w:val="auto"/>
        </w:rPr>
        <w:t>Loan Party Representations and Warranties</w:t>
      </w:r>
      <w:r>
        <w:rPr>
          <w:rFonts w:ascii="Arial" w:cs="Arial" w:eastAsia="Arial" w:hAnsi="Arial"/>
          <w:sz w:val="19"/>
          <w:szCs w:val="19"/>
          <w:color w:val="auto"/>
        </w:rPr>
        <w:t>. In order to induce the Lenders to execute and deliver this Agreement, the Loan Parties hereby represent and warrant to the Lenders that both before and after giving effect to this Agreement,</w:t>
      </w:r>
    </w:p>
    <w:p>
      <w:pPr>
        <w:spacing w:after="0" w:line="2" w:lineRule="exact"/>
        <w:rPr>
          <w:sz w:val="20"/>
          <w:szCs w:val="20"/>
          <w:color w:val="auto"/>
        </w:rPr>
      </w:pPr>
    </w:p>
    <w:p>
      <w:pPr>
        <w:jc w:val="both"/>
        <w:ind w:firstLine="8"/>
        <w:spacing w:after="0" w:line="270" w:lineRule="auto"/>
        <w:tabs>
          <w:tab w:leader="none" w:pos="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event has occurred and is continuing which constitutes a Default or an Event of Default and (b) the representations and warranties of (i) the Borrowers contained in Article V of the Credit Agreement (as amended by this Agreement) and (ii) each Loan Party contained in each other Loan Document or in any document furnished at any time under or in connection herewith or therewith, are true and correct in all material respects (and in all respects if any such representation or warranty is already qualified by materiality) on and as of the date hereof,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Agreement, the representations and warranties contained in Sections 5.05(a) and (b) of the Credit Agreement shall be deemed to refer to the most recent statements furnished pursuant to, respectively, of Sections 6.01(a) and (b)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441960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 w:name="page12"/>
    <w:bookmarkEnd w:id="11"/>
    <w:p>
      <w:pPr>
        <w:ind w:left="880"/>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 above written.</w:t>
      </w:r>
    </w:p>
    <w:p>
      <w:pPr>
        <w:spacing w:after="0" w:line="227" w:lineRule="exact"/>
        <w:rPr>
          <w:sz w:val="20"/>
          <w:szCs w:val="20"/>
          <w:color w:val="auto"/>
        </w:rPr>
      </w:pPr>
    </w:p>
    <w:p>
      <w:pPr>
        <w:spacing w:after="0"/>
        <w:tabs>
          <w:tab w:leader="none" w:pos="1920" w:val="left"/>
        </w:tabs>
        <w:rPr>
          <w:sz w:val="20"/>
          <w:szCs w:val="20"/>
          <w:color w:val="auto"/>
        </w:rPr>
      </w:pPr>
      <w:r>
        <w:rPr>
          <w:rFonts w:ascii="Arial" w:cs="Arial" w:eastAsia="Arial" w:hAnsi="Arial"/>
          <w:sz w:val="20"/>
          <w:szCs w:val="20"/>
          <w:u w:val="single" w:color="auto"/>
          <w:color w:val="auto"/>
        </w:rPr>
        <w:t>BORROWERS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GENTHERM INCORPORATED,</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 Michigan corporation</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Name: 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GENTHERM (TEXAS), INC.,</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 Texas corporation</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tabs>
          <w:tab w:leader="none" w:pos="64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GENTHERM LICENSING, LIMITED  PARTNERSHIP,</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 Michigan limited partnership</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Name: 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GENTHERM GMBH,</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 German limited liability company</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tabs>
          <w:tab w:leader="none" w:pos="64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jc w:val="right"/>
        <w:ind w:right="3360"/>
        <w:spacing w:after="0"/>
        <w:rPr>
          <w:sz w:val="20"/>
          <w:szCs w:val="20"/>
          <w:color w:val="auto"/>
        </w:rPr>
      </w:pPr>
      <w:r>
        <w:rPr>
          <w:rFonts w:ascii="Arial" w:cs="Arial" w:eastAsia="Arial" w:hAnsi="Arial"/>
          <w:sz w:val="20"/>
          <w:szCs w:val="20"/>
          <w:color w:val="auto"/>
        </w:rPr>
        <w:t>GENTHERM ENTERPRISES GMBH,</w:t>
      </w:r>
    </w:p>
    <w:p>
      <w:pPr>
        <w:spacing w:after="0" w:line="16" w:lineRule="exact"/>
        <w:rPr>
          <w:sz w:val="20"/>
          <w:szCs w:val="20"/>
          <w:color w:val="auto"/>
        </w:rPr>
      </w:pPr>
    </w:p>
    <w:p>
      <w:pPr>
        <w:jc w:val="right"/>
        <w:ind w:right="3320"/>
        <w:spacing w:after="0"/>
        <w:rPr>
          <w:sz w:val="20"/>
          <w:szCs w:val="20"/>
          <w:color w:val="auto"/>
        </w:rPr>
      </w:pPr>
      <w:r>
        <w:rPr>
          <w:rFonts w:ascii="Arial" w:cs="Arial" w:eastAsia="Arial" w:hAnsi="Arial"/>
          <w:sz w:val="20"/>
          <w:szCs w:val="20"/>
          <w:color w:val="auto"/>
        </w:rPr>
        <w:t>a German limited liability company</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Name: 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GENTHERM LICENSING GMBH,</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 German limited liability company</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tabs>
          <w:tab w:leader="none" w:pos="64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2" w:name="page13"/>
    <w:bookmarkEnd w:id="12"/>
    <w:p>
      <w:pPr>
        <w:ind w:left="4080" w:right="520"/>
        <w:spacing w:after="0" w:line="260" w:lineRule="auto"/>
        <w:rPr>
          <w:sz w:val="20"/>
          <w:szCs w:val="20"/>
          <w:color w:val="auto"/>
        </w:rPr>
      </w:pPr>
      <w:r>
        <w:rPr>
          <w:rFonts w:ascii="Arial" w:cs="Arial" w:eastAsia="Arial" w:hAnsi="Arial"/>
          <w:sz w:val="20"/>
          <w:szCs w:val="20"/>
          <w:color w:val="auto"/>
        </w:rPr>
        <w:t>GENTHERM GLOBAL POWER TECHNOLOGIES INC., an Alberta corporation</w:t>
      </w:r>
    </w:p>
    <w:p>
      <w:pPr>
        <w:spacing w:after="0" w:line="19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GENTHERM CANADA ULC,</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an Alberta unlimited liability company</w:t>
      </w:r>
    </w:p>
    <w:p>
      <w:pPr>
        <w:spacing w:after="0" w:line="30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52070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3440" w:type="dxa"/>
            <w:vAlign w:val="bottom"/>
            <w:gridSpan w:val="2"/>
          </w:tcPr>
          <w:p>
            <w:pPr>
              <w:spacing w:after="0"/>
              <w:rPr>
                <w:sz w:val="20"/>
                <w:szCs w:val="20"/>
                <w:color w:val="auto"/>
              </w:rPr>
            </w:pPr>
            <w:r>
              <w:rPr>
                <w:rFonts w:ascii="Arial" w:cs="Arial" w:eastAsia="Arial" w:hAnsi="Arial"/>
                <w:sz w:val="20"/>
                <w:szCs w:val="20"/>
                <w:color w:val="auto"/>
              </w:rPr>
              <w:t>DESIGNATED BORROWER:</w:t>
            </w:r>
          </w:p>
        </w:tc>
        <w:tc>
          <w:tcPr>
            <w:tcW w:w="4740" w:type="dxa"/>
            <w:vAlign w:val="bottom"/>
            <w:gridSpan w:val="6"/>
          </w:tcPr>
          <w:p>
            <w:pPr>
              <w:ind w:left="980"/>
              <w:spacing w:after="0"/>
              <w:rPr>
                <w:sz w:val="20"/>
                <w:szCs w:val="20"/>
                <w:color w:val="auto"/>
              </w:rPr>
            </w:pPr>
            <w:r>
              <w:rPr>
                <w:rFonts w:ascii="Arial" w:cs="Arial" w:eastAsia="Arial" w:hAnsi="Arial"/>
                <w:sz w:val="20"/>
                <w:szCs w:val="20"/>
                <w:color w:val="auto"/>
                <w:w w:val="94"/>
              </w:rPr>
              <w:t>CINCINNATI SUB-ZERO PRODUCTS, LLC,</w:t>
            </w:r>
          </w:p>
        </w:tc>
      </w:tr>
      <w:tr>
        <w:trPr>
          <w:trHeight w:val="254"/>
        </w:trPr>
        <w:tc>
          <w:tcPr>
            <w:tcW w:w="2420" w:type="dxa"/>
            <w:vAlign w:val="bottom"/>
            <w:tcBorders>
              <w:top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4740" w:type="dxa"/>
            <w:vAlign w:val="bottom"/>
            <w:gridSpan w:val="6"/>
          </w:tcPr>
          <w:p>
            <w:pPr>
              <w:ind w:left="1840"/>
              <w:spacing w:after="0"/>
              <w:rPr>
                <w:sz w:val="20"/>
                <w:szCs w:val="20"/>
                <w:color w:val="auto"/>
              </w:rPr>
            </w:pPr>
            <w:r>
              <w:rPr>
                <w:rFonts w:ascii="Arial" w:cs="Arial" w:eastAsia="Arial" w:hAnsi="Arial"/>
                <w:sz w:val="20"/>
                <w:szCs w:val="20"/>
                <w:color w:val="auto"/>
              </w:rPr>
              <w:t>an Ohio limited liability company</w:t>
            </w:r>
          </w:p>
        </w:tc>
      </w:tr>
      <w:tr>
        <w:trPr>
          <w:trHeight w:val="509"/>
        </w:trPr>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gridSpan w:val="3"/>
          </w:tcPr>
          <w:p>
            <w:pPr>
              <w:ind w:left="1840"/>
              <w:spacing w:after="0"/>
              <w:rPr>
                <w:sz w:val="20"/>
                <w:szCs w:val="20"/>
                <w:color w:val="auto"/>
              </w:rPr>
            </w:pPr>
            <w:r>
              <w:rPr>
                <w:rFonts w:ascii="Arial" w:cs="Arial" w:eastAsia="Arial" w:hAnsi="Arial"/>
                <w:sz w:val="20"/>
                <w:szCs w:val="20"/>
                <w:color w:val="auto"/>
              </w:rPr>
              <w:t>By: /s/</w:t>
            </w:r>
          </w:p>
        </w:tc>
        <w:tc>
          <w:tcPr>
            <w:tcW w:w="36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20"/>
                <w:szCs w:val="20"/>
                <w:color w:val="auto"/>
              </w:rPr>
              <w:t>Barry Steele</w:t>
            </w:r>
          </w:p>
        </w:tc>
      </w:tr>
      <w:tr>
        <w:trPr>
          <w:trHeight w:val="20"/>
        </w:trPr>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3"/>
        </w:trPr>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40" w:type="dxa"/>
            <w:vAlign w:val="bottom"/>
            <w:gridSpan w:val="3"/>
          </w:tcPr>
          <w:p>
            <w:pPr>
              <w:ind w:left="1840"/>
              <w:spacing w:after="0"/>
              <w:rPr>
                <w:sz w:val="20"/>
                <w:szCs w:val="20"/>
                <w:color w:val="auto"/>
              </w:rPr>
            </w:pPr>
            <w:r>
              <w:rPr>
                <w:rFonts w:ascii="Arial" w:cs="Arial" w:eastAsia="Arial" w:hAnsi="Arial"/>
                <w:sz w:val="20"/>
                <w:szCs w:val="20"/>
                <w:color w:val="auto"/>
              </w:rPr>
              <w:t>Name:</w:t>
            </w:r>
          </w:p>
        </w:tc>
        <w:tc>
          <w:tcPr>
            <w:tcW w:w="36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20"/>
                <w:szCs w:val="20"/>
                <w:color w:val="auto"/>
              </w:rPr>
              <w:t>Barry Steele</w:t>
            </w:r>
          </w:p>
        </w:tc>
      </w:tr>
      <w:tr>
        <w:trPr>
          <w:trHeight w:val="250"/>
        </w:trPr>
        <w:tc>
          <w:tcPr>
            <w:tcW w:w="2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40" w:type="dxa"/>
            <w:vAlign w:val="bottom"/>
            <w:gridSpan w:val="3"/>
          </w:tcPr>
          <w:p>
            <w:pPr>
              <w:ind w:left="1840"/>
              <w:spacing w:after="0"/>
              <w:rPr>
                <w:sz w:val="20"/>
                <w:szCs w:val="20"/>
                <w:color w:val="auto"/>
              </w:rPr>
            </w:pPr>
            <w:r>
              <w:rPr>
                <w:rFonts w:ascii="Arial" w:cs="Arial" w:eastAsia="Arial" w:hAnsi="Arial"/>
                <w:sz w:val="20"/>
                <w:szCs w:val="20"/>
                <w:color w:val="auto"/>
              </w:rPr>
              <w:t>Title:</w:t>
            </w:r>
          </w:p>
        </w:tc>
        <w:tc>
          <w:tcPr>
            <w:tcW w:w="2100" w:type="dxa"/>
            <w:vAlign w:val="bottom"/>
            <w:gridSpan w:val="3"/>
          </w:tcPr>
          <w:p>
            <w:pPr>
              <w:ind w:left="260"/>
              <w:spacing w:after="0"/>
              <w:rPr>
                <w:sz w:val="20"/>
                <w:szCs w:val="20"/>
                <w:color w:val="auto"/>
              </w:rPr>
            </w:pPr>
            <w:r>
              <w:rPr>
                <w:rFonts w:ascii="Arial" w:cs="Arial" w:eastAsia="Arial" w:hAnsi="Arial"/>
                <w:sz w:val="20"/>
                <w:szCs w:val="20"/>
                <w:color w:val="auto"/>
                <w:w w:val="92"/>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700" w:type="dxa"/>
            <w:vAlign w:val="bottom"/>
            <w:gridSpan w:val="2"/>
          </w:tcPr>
          <w:p>
            <w:pPr>
              <w:spacing w:after="0"/>
              <w:rPr>
                <w:sz w:val="20"/>
                <w:szCs w:val="20"/>
                <w:color w:val="auto"/>
              </w:rPr>
            </w:pPr>
            <w:r>
              <w:rPr>
                <w:rFonts w:ascii="Arial" w:cs="Arial" w:eastAsia="Arial" w:hAnsi="Arial"/>
                <w:sz w:val="20"/>
                <w:szCs w:val="20"/>
                <w:color w:val="auto"/>
              </w:rPr>
              <w:t>GUARANTORS:</w:t>
            </w:r>
          </w:p>
        </w:tc>
        <w:tc>
          <w:tcPr>
            <w:tcW w:w="5580" w:type="dxa"/>
            <w:vAlign w:val="bottom"/>
            <w:gridSpan w:val="4"/>
          </w:tcPr>
          <w:p>
            <w:pPr>
              <w:ind w:left="1300"/>
              <w:spacing w:after="0"/>
              <w:rPr>
                <w:sz w:val="20"/>
                <w:szCs w:val="20"/>
                <w:color w:val="auto"/>
              </w:rPr>
            </w:pPr>
            <w:r>
              <w:rPr>
                <w:rFonts w:ascii="Arial" w:cs="Arial" w:eastAsia="Arial" w:hAnsi="Arial"/>
                <w:sz w:val="20"/>
                <w:szCs w:val="20"/>
                <w:color w:val="auto"/>
              </w:rPr>
              <w:t>GENTHERM PROPERTIES I, LLC,</w:t>
            </w:r>
          </w:p>
        </w:tc>
      </w:tr>
      <w:tr>
        <w:trPr>
          <w:trHeight w:val="254"/>
        </w:trPr>
        <w:tc>
          <w:tcPr>
            <w:tcW w:w="1360" w:type="dxa"/>
            <w:vAlign w:val="bottom"/>
            <w:tcBorders>
              <w:top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5580" w:type="dxa"/>
            <w:vAlign w:val="bottom"/>
            <w:gridSpan w:val="4"/>
          </w:tcPr>
          <w:p>
            <w:pPr>
              <w:ind w:left="2580"/>
              <w:spacing w:after="0"/>
              <w:rPr>
                <w:sz w:val="20"/>
                <w:szCs w:val="20"/>
                <w:color w:val="auto"/>
              </w:rPr>
            </w:pPr>
            <w:r>
              <w:rPr>
                <w:rFonts w:ascii="Arial" w:cs="Arial" w:eastAsia="Arial" w:hAnsi="Arial"/>
                <w:sz w:val="20"/>
                <w:szCs w:val="20"/>
                <w:color w:val="auto"/>
                <w:w w:val="95"/>
              </w:rPr>
              <w:t>a Michigan limited liability company</w:t>
            </w:r>
          </w:p>
        </w:tc>
      </w:tr>
      <w:tr>
        <w:trPr>
          <w:trHeight w:val="509"/>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580" w:type="dxa"/>
            <w:vAlign w:val="bottom"/>
            <w:gridSpan w:val="4"/>
          </w:tcPr>
          <w:p>
            <w:pPr>
              <w:ind w:left="2580"/>
              <w:spacing w:after="0"/>
              <w:rPr>
                <w:sz w:val="20"/>
                <w:szCs w:val="20"/>
                <w:color w:val="auto"/>
              </w:rPr>
            </w:pPr>
            <w:r>
              <w:rPr>
                <w:rFonts w:ascii="Arial" w:cs="Arial" w:eastAsia="Arial" w:hAnsi="Arial"/>
                <w:sz w:val="20"/>
                <w:szCs w:val="20"/>
                <w:color w:val="auto"/>
              </w:rPr>
              <w:t>By:/s/ Barry Steele</w:t>
            </w:r>
          </w:p>
        </w:tc>
      </w:tr>
      <w:tr>
        <w:trPr>
          <w:trHeight w:val="20"/>
        </w:trPr>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3"/>
        </w:trPr>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580" w:type="dxa"/>
            <w:vAlign w:val="bottom"/>
            <w:gridSpan w:val="4"/>
          </w:tcPr>
          <w:p>
            <w:pPr>
              <w:ind w:left="2580"/>
              <w:spacing w:after="0"/>
              <w:rPr>
                <w:sz w:val="20"/>
                <w:szCs w:val="20"/>
                <w:color w:val="auto"/>
              </w:rPr>
            </w:pPr>
            <w:r>
              <w:rPr>
                <w:rFonts w:ascii="Arial" w:cs="Arial" w:eastAsia="Arial" w:hAnsi="Arial"/>
                <w:sz w:val="20"/>
                <w:szCs w:val="20"/>
                <w:color w:val="auto"/>
              </w:rPr>
              <w:t>Name: Barry Steele</w:t>
            </w:r>
          </w:p>
        </w:tc>
      </w:tr>
      <w:tr>
        <w:trPr>
          <w:trHeight w:val="250"/>
        </w:trPr>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380" w:type="dxa"/>
            <w:vAlign w:val="bottom"/>
            <w:gridSpan w:val="2"/>
          </w:tcPr>
          <w:p>
            <w:pPr>
              <w:ind w:left="2580"/>
              <w:spacing w:after="0"/>
              <w:rPr>
                <w:sz w:val="20"/>
                <w:szCs w:val="20"/>
                <w:color w:val="auto"/>
              </w:rPr>
            </w:pPr>
            <w:r>
              <w:rPr>
                <w:rFonts w:ascii="Arial" w:cs="Arial" w:eastAsia="Arial" w:hAnsi="Arial"/>
                <w:sz w:val="20"/>
                <w:szCs w:val="20"/>
                <w:color w:val="auto"/>
              </w:rPr>
              <w:t>Title:</w:t>
            </w:r>
          </w:p>
        </w:tc>
        <w:tc>
          <w:tcPr>
            <w:tcW w:w="2200" w:type="dxa"/>
            <w:vAlign w:val="bottom"/>
            <w:gridSpan w:val="2"/>
          </w:tcPr>
          <w:p>
            <w:pPr>
              <w:ind w:left="260"/>
              <w:spacing w:after="0"/>
              <w:rPr>
                <w:sz w:val="20"/>
                <w:szCs w:val="20"/>
                <w:color w:val="auto"/>
              </w:rPr>
            </w:pPr>
            <w:r>
              <w:rPr>
                <w:rFonts w:ascii="Arial" w:cs="Arial" w:eastAsia="Arial" w:hAnsi="Arial"/>
                <w:sz w:val="20"/>
                <w:szCs w:val="20"/>
                <w:color w:val="auto"/>
                <w:w w:val="97"/>
              </w:rPr>
              <w:t>Chief Financial Officer</w:t>
            </w:r>
          </w:p>
        </w:tc>
      </w:tr>
      <w:tr>
        <w:trPr>
          <w:trHeight w:val="425"/>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580" w:type="dxa"/>
            <w:vAlign w:val="bottom"/>
            <w:gridSpan w:val="4"/>
          </w:tcPr>
          <w:p>
            <w:pPr>
              <w:ind w:left="2580"/>
              <w:spacing w:after="0"/>
              <w:rPr>
                <w:sz w:val="20"/>
                <w:szCs w:val="20"/>
                <w:color w:val="auto"/>
              </w:rPr>
            </w:pPr>
            <w:r>
              <w:rPr>
                <w:rFonts w:ascii="Arial" w:cs="Arial" w:eastAsia="Arial" w:hAnsi="Arial"/>
                <w:sz w:val="20"/>
                <w:szCs w:val="20"/>
                <w:color w:val="auto"/>
                <w:w w:val="93"/>
              </w:rPr>
              <w:t>GENTHERM PROPERTIES II, LLC,</w:t>
            </w:r>
          </w:p>
        </w:tc>
      </w:tr>
      <w:tr>
        <w:trPr>
          <w:trHeight w:val="250"/>
        </w:trPr>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580" w:type="dxa"/>
            <w:vAlign w:val="bottom"/>
            <w:gridSpan w:val="4"/>
          </w:tcPr>
          <w:p>
            <w:pPr>
              <w:ind w:left="2580"/>
              <w:spacing w:after="0"/>
              <w:rPr>
                <w:sz w:val="20"/>
                <w:szCs w:val="20"/>
                <w:color w:val="auto"/>
              </w:rPr>
            </w:pPr>
            <w:r>
              <w:rPr>
                <w:rFonts w:ascii="Arial" w:cs="Arial" w:eastAsia="Arial" w:hAnsi="Arial"/>
                <w:sz w:val="20"/>
                <w:szCs w:val="20"/>
                <w:color w:val="auto"/>
                <w:w w:val="95"/>
              </w:rPr>
              <w:t>a Michigan limited liability company</w:t>
            </w:r>
          </w:p>
        </w:tc>
      </w:tr>
      <w:tr>
        <w:trPr>
          <w:trHeight w:val="509"/>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580" w:type="dxa"/>
            <w:vAlign w:val="bottom"/>
            <w:gridSpan w:val="4"/>
          </w:tcPr>
          <w:p>
            <w:pPr>
              <w:ind w:left="2580"/>
              <w:spacing w:after="0"/>
              <w:rPr>
                <w:sz w:val="20"/>
                <w:szCs w:val="20"/>
                <w:color w:val="auto"/>
              </w:rPr>
            </w:pPr>
            <w:r>
              <w:rPr>
                <w:rFonts w:ascii="Arial" w:cs="Arial" w:eastAsia="Arial" w:hAnsi="Arial"/>
                <w:sz w:val="20"/>
                <w:szCs w:val="20"/>
                <w:color w:val="auto"/>
              </w:rPr>
              <w:t>By:/s/ Barry Steele</w:t>
            </w:r>
          </w:p>
        </w:tc>
      </w:tr>
      <w:tr>
        <w:trPr>
          <w:trHeight w:val="20"/>
        </w:trPr>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3"/>
        </w:trPr>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80" w:type="dxa"/>
            <w:vAlign w:val="bottom"/>
            <w:gridSpan w:val="2"/>
          </w:tcPr>
          <w:p>
            <w:pPr>
              <w:ind w:left="2580"/>
              <w:spacing w:after="0"/>
              <w:rPr>
                <w:sz w:val="20"/>
                <w:szCs w:val="20"/>
                <w:color w:val="auto"/>
              </w:rPr>
            </w:pPr>
            <w:r>
              <w:rPr>
                <w:rFonts w:ascii="Arial" w:cs="Arial" w:eastAsia="Arial" w:hAnsi="Arial"/>
                <w:sz w:val="20"/>
                <w:szCs w:val="20"/>
                <w:color w:val="auto"/>
              </w:rPr>
              <w:t>Name:</w:t>
            </w:r>
          </w:p>
        </w:tc>
        <w:tc>
          <w:tcPr>
            <w:tcW w:w="2200" w:type="dxa"/>
            <w:vAlign w:val="bottom"/>
            <w:gridSpan w:val="2"/>
          </w:tcPr>
          <w:p>
            <w:pPr>
              <w:ind w:left="380"/>
              <w:spacing w:after="0"/>
              <w:rPr>
                <w:sz w:val="20"/>
                <w:szCs w:val="20"/>
                <w:color w:val="auto"/>
              </w:rPr>
            </w:pPr>
            <w:r>
              <w:rPr>
                <w:rFonts w:ascii="Arial" w:cs="Arial" w:eastAsia="Arial" w:hAnsi="Arial"/>
                <w:sz w:val="20"/>
                <w:szCs w:val="20"/>
                <w:color w:val="auto"/>
              </w:rPr>
              <w:t>Barry Steele</w:t>
            </w:r>
          </w:p>
        </w:tc>
      </w:tr>
      <w:tr>
        <w:trPr>
          <w:trHeight w:val="250"/>
        </w:trPr>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380" w:type="dxa"/>
            <w:vAlign w:val="bottom"/>
            <w:gridSpan w:val="2"/>
          </w:tcPr>
          <w:p>
            <w:pPr>
              <w:ind w:left="2580"/>
              <w:spacing w:after="0"/>
              <w:rPr>
                <w:sz w:val="20"/>
                <w:szCs w:val="20"/>
                <w:color w:val="auto"/>
              </w:rPr>
            </w:pPr>
            <w:r>
              <w:rPr>
                <w:rFonts w:ascii="Arial" w:cs="Arial" w:eastAsia="Arial" w:hAnsi="Arial"/>
                <w:sz w:val="20"/>
                <w:szCs w:val="20"/>
                <w:color w:val="auto"/>
              </w:rPr>
              <w:t>Title:</w:t>
            </w:r>
          </w:p>
        </w:tc>
        <w:tc>
          <w:tcPr>
            <w:tcW w:w="2200" w:type="dxa"/>
            <w:vAlign w:val="bottom"/>
            <w:gridSpan w:val="2"/>
          </w:tcPr>
          <w:p>
            <w:pPr>
              <w:ind w:left="260"/>
              <w:spacing w:after="0"/>
              <w:rPr>
                <w:sz w:val="20"/>
                <w:szCs w:val="20"/>
                <w:color w:val="auto"/>
              </w:rPr>
            </w:pPr>
            <w:r>
              <w:rPr>
                <w:rFonts w:ascii="Arial" w:cs="Arial" w:eastAsia="Arial" w:hAnsi="Arial"/>
                <w:sz w:val="20"/>
                <w:szCs w:val="20"/>
                <w:color w:val="auto"/>
                <w:w w:val="97"/>
              </w:rPr>
              <w:t>Chief Financial Officer</w:t>
            </w:r>
          </w:p>
        </w:tc>
      </w:tr>
    </w:tbl>
    <w:p>
      <w:pPr>
        <w:spacing w:after="0" w:line="195"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GENTHERM PROPERTIES III, LLC,</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 Michigan limited liability company</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tabs>
          <w:tab w:leader="none" w:pos="64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GENTHERM HOLDING (MALTA) LIMITED,</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 Maltese limited liability company</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tabs>
          <w:tab w:leader="none" w:pos="64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GENTHERM AUTOMOTIVE SYSTEMS (MALTA) LIMITED,</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 Maltese limited liability company</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tabs>
          <w:tab w:leader="none" w:pos="64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ind w:left="5280" w:right="240"/>
        <w:spacing w:after="0" w:line="260" w:lineRule="auto"/>
        <w:rPr>
          <w:sz w:val="20"/>
          <w:szCs w:val="20"/>
          <w:color w:val="auto"/>
        </w:rPr>
      </w:pPr>
      <w:r>
        <w:rPr>
          <w:rFonts w:ascii="Arial" w:cs="Arial" w:eastAsia="Arial" w:hAnsi="Arial"/>
          <w:sz w:val="20"/>
          <w:szCs w:val="20"/>
          <w:color w:val="auto"/>
        </w:rPr>
        <w:t>GENTHERM HUNGARY KORLÁTOLT FELELŐSSÉGŰ TÁRSASÁG, a Hungarian limited liability company</w:t>
      </w:r>
    </w:p>
    <w:p>
      <w:pPr>
        <w:spacing w:after="0" w:line="28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5280"/>
        <w:spacing w:after="0"/>
        <w:tabs>
          <w:tab w:leader="none" w:pos="64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5280"/>
        <w:spacing w:after="0"/>
        <w:tabs>
          <w:tab w:leader="none" w:pos="63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 w:name="page16"/>
    <w:bookmarkEnd w:id="15"/>
    <w:p>
      <w:pPr>
        <w:ind w:left="4080"/>
        <w:spacing w:after="0"/>
        <w:rPr>
          <w:sz w:val="20"/>
          <w:szCs w:val="20"/>
          <w:color w:val="auto"/>
        </w:rPr>
      </w:pPr>
      <w:r>
        <w:rPr>
          <w:rFonts w:ascii="Arial" w:cs="Arial" w:eastAsia="Arial" w:hAnsi="Arial"/>
          <w:sz w:val="20"/>
          <w:szCs w:val="20"/>
          <w:color w:val="auto"/>
        </w:rPr>
        <w:t>GENTHERM LUXEMBOURG I S.À R.L.,</w:t>
      </w:r>
    </w:p>
    <w:p>
      <w:pPr>
        <w:spacing w:after="0" w:line="16" w:lineRule="exact"/>
        <w:rPr>
          <w:sz w:val="20"/>
          <w:szCs w:val="20"/>
          <w:color w:val="auto"/>
        </w:rPr>
      </w:pPr>
    </w:p>
    <w:p>
      <w:pPr>
        <w:ind w:left="4080" w:right="460"/>
        <w:spacing w:after="0" w:line="256" w:lineRule="auto"/>
        <w:rPr>
          <w:sz w:val="20"/>
          <w:szCs w:val="20"/>
          <w:color w:val="auto"/>
        </w:rPr>
      </w:pPr>
      <w:r>
        <w:rPr>
          <w:rFonts w:ascii="Arial" w:cs="Arial" w:eastAsia="Arial" w:hAnsi="Arial"/>
          <w:sz w:val="19"/>
          <w:szCs w:val="19"/>
          <w:color w:val="auto"/>
        </w:rPr>
        <w:t>a private limited liability company (</w:t>
      </w:r>
      <w:r>
        <w:rPr>
          <w:rFonts w:ascii="Arial" w:cs="Arial" w:eastAsia="Arial" w:hAnsi="Arial"/>
          <w:sz w:val="19"/>
          <w:szCs w:val="19"/>
          <w:i w:val="1"/>
          <w:iCs w:val="1"/>
          <w:color w:val="auto"/>
        </w:rPr>
        <w:t>société à responsabilité limitée</w:t>
      </w:r>
      <w:r>
        <w:rPr>
          <w:rFonts w:ascii="Arial" w:cs="Arial" w:eastAsia="Arial" w:hAnsi="Arial"/>
          <w:sz w:val="19"/>
          <w:szCs w:val="19"/>
          <w:color w:val="auto"/>
        </w:rPr>
        <w:t>) incorporated and existing under the laws of the Grand Duchy of Luxembourg, with its registered office at 41, avenue de la Gare, L-1611 Luxembourg and registered with the Luxembourg trade and companies register under number B 191.251</w:t>
      </w:r>
    </w:p>
    <w:p>
      <w:pPr>
        <w:spacing w:after="0" w:line="29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Officwer</w:t>
      </w:r>
    </w:p>
    <w:p>
      <w:pPr>
        <w:spacing w:after="0" w:line="20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GENTHERM LUXEMBOURG II S.À R.L.,</w:t>
      </w:r>
    </w:p>
    <w:p>
      <w:pPr>
        <w:spacing w:after="0" w:line="16" w:lineRule="exact"/>
        <w:rPr>
          <w:sz w:val="20"/>
          <w:szCs w:val="20"/>
          <w:color w:val="auto"/>
        </w:rPr>
      </w:pPr>
    </w:p>
    <w:p>
      <w:pPr>
        <w:ind w:left="4080" w:right="460"/>
        <w:spacing w:after="0" w:line="256" w:lineRule="auto"/>
        <w:rPr>
          <w:sz w:val="20"/>
          <w:szCs w:val="20"/>
          <w:color w:val="auto"/>
        </w:rPr>
      </w:pPr>
      <w:r>
        <w:rPr>
          <w:rFonts w:ascii="Arial" w:cs="Arial" w:eastAsia="Arial" w:hAnsi="Arial"/>
          <w:sz w:val="19"/>
          <w:szCs w:val="19"/>
          <w:color w:val="auto"/>
        </w:rPr>
        <w:t>a private limited liability company (</w:t>
      </w:r>
      <w:r>
        <w:rPr>
          <w:rFonts w:ascii="Arial" w:cs="Arial" w:eastAsia="Arial" w:hAnsi="Arial"/>
          <w:sz w:val="19"/>
          <w:szCs w:val="19"/>
          <w:i w:val="1"/>
          <w:iCs w:val="1"/>
          <w:color w:val="auto"/>
        </w:rPr>
        <w:t>société à responsabilité limitée</w:t>
      </w:r>
      <w:r>
        <w:rPr>
          <w:rFonts w:ascii="Arial" w:cs="Arial" w:eastAsia="Arial" w:hAnsi="Arial"/>
          <w:sz w:val="19"/>
          <w:szCs w:val="19"/>
          <w:color w:val="auto"/>
        </w:rPr>
        <w:t>) incorporated and existing under the laws of the Grand Duchy of Luxembourg, with its registered office at 41, avenue de la Gare, L-1611 Luxembourg and registered with the Luxembourg trade and companies register under number B 191.252</w:t>
      </w:r>
    </w:p>
    <w:p>
      <w:pPr>
        <w:spacing w:after="0" w:line="29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Steele</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Barry Steele</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52070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4840" w:type="dxa"/>
            <w:vAlign w:val="bottom"/>
            <w:gridSpan w:val="4"/>
          </w:tcPr>
          <w:p>
            <w:pPr>
              <w:ind w:left="980"/>
              <w:spacing w:after="0"/>
              <w:rPr>
                <w:sz w:val="20"/>
                <w:szCs w:val="20"/>
                <w:color w:val="auto"/>
              </w:rPr>
            </w:pPr>
            <w:r>
              <w:rPr>
                <w:rFonts w:ascii="Arial" w:cs="Arial" w:eastAsia="Arial" w:hAnsi="Arial"/>
                <w:sz w:val="20"/>
                <w:szCs w:val="20"/>
                <w:color w:val="auto"/>
              </w:rPr>
              <w:t>BANK OF AMERICA, N.A.,</w:t>
            </w:r>
          </w:p>
        </w:tc>
      </w:tr>
      <w:tr>
        <w:trPr>
          <w:trHeight w:val="254"/>
        </w:trPr>
        <w:tc>
          <w:tcPr>
            <w:tcW w:w="2400" w:type="dxa"/>
            <w:vAlign w:val="bottom"/>
            <w:tcBorders>
              <w:top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4840" w:type="dxa"/>
            <w:vAlign w:val="bottom"/>
            <w:gridSpan w:val="4"/>
          </w:tcPr>
          <w:p>
            <w:pPr>
              <w:ind w:left="1860"/>
              <w:spacing w:after="0"/>
              <w:rPr>
                <w:sz w:val="20"/>
                <w:szCs w:val="20"/>
                <w:color w:val="auto"/>
              </w:rPr>
            </w:pPr>
            <w:r>
              <w:rPr>
                <w:rFonts w:ascii="Arial" w:cs="Arial" w:eastAsia="Arial" w:hAnsi="Arial"/>
                <w:sz w:val="20"/>
                <w:szCs w:val="20"/>
                <w:color w:val="auto"/>
              </w:rPr>
              <w:t>as Administrative Agent</w:t>
            </w:r>
          </w:p>
        </w:tc>
      </w:tr>
      <w:tr>
        <w:trPr>
          <w:trHeight w:val="509"/>
        </w:trPr>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40" w:type="dxa"/>
            <w:vAlign w:val="bottom"/>
            <w:gridSpan w:val="4"/>
          </w:tcPr>
          <w:p>
            <w:pPr>
              <w:ind w:left="1860"/>
              <w:spacing w:after="0"/>
              <w:rPr>
                <w:sz w:val="20"/>
                <w:szCs w:val="20"/>
                <w:color w:val="auto"/>
              </w:rPr>
            </w:pPr>
            <w:r>
              <w:rPr>
                <w:rFonts w:ascii="Arial" w:cs="Arial" w:eastAsia="Arial" w:hAnsi="Arial"/>
                <w:sz w:val="20"/>
                <w:szCs w:val="20"/>
                <w:color w:val="auto"/>
              </w:rPr>
              <w:t>By: /s/ Felicia Brinson</w:t>
            </w:r>
          </w:p>
        </w:tc>
      </w:tr>
      <w:tr>
        <w:trPr>
          <w:trHeight w:val="20"/>
        </w:trPr>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3"/>
        </w:trPr>
        <w:tc>
          <w:tcPr>
            <w:tcW w:w="2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60" w:type="dxa"/>
            <w:vAlign w:val="bottom"/>
            <w:gridSpan w:val="2"/>
          </w:tcPr>
          <w:p>
            <w:pPr>
              <w:ind w:left="1860"/>
              <w:spacing w:after="0"/>
              <w:rPr>
                <w:sz w:val="20"/>
                <w:szCs w:val="20"/>
                <w:color w:val="auto"/>
              </w:rPr>
            </w:pPr>
            <w:r>
              <w:rPr>
                <w:rFonts w:ascii="Arial" w:cs="Arial" w:eastAsia="Arial" w:hAnsi="Arial"/>
                <w:sz w:val="20"/>
                <w:szCs w:val="20"/>
                <w:color w:val="auto"/>
              </w:rPr>
              <w:t>Name:</w:t>
            </w:r>
          </w:p>
        </w:tc>
        <w:tc>
          <w:tcPr>
            <w:tcW w:w="2180" w:type="dxa"/>
            <w:vAlign w:val="bottom"/>
            <w:gridSpan w:val="2"/>
          </w:tcPr>
          <w:p>
            <w:pPr>
              <w:ind w:left="380"/>
              <w:spacing w:after="0"/>
              <w:rPr>
                <w:sz w:val="20"/>
                <w:szCs w:val="20"/>
                <w:color w:val="auto"/>
              </w:rPr>
            </w:pPr>
            <w:r>
              <w:rPr>
                <w:rFonts w:ascii="Arial" w:cs="Arial" w:eastAsia="Arial" w:hAnsi="Arial"/>
                <w:sz w:val="20"/>
                <w:szCs w:val="20"/>
                <w:color w:val="auto"/>
              </w:rPr>
              <w:t>Felicia Brinson</w:t>
            </w:r>
          </w:p>
        </w:tc>
      </w:tr>
      <w:tr>
        <w:trPr>
          <w:trHeight w:val="250"/>
        </w:trPr>
        <w:tc>
          <w:tcPr>
            <w:tcW w:w="2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60" w:type="dxa"/>
            <w:vAlign w:val="bottom"/>
            <w:gridSpan w:val="2"/>
          </w:tcPr>
          <w:p>
            <w:pPr>
              <w:ind w:left="1860"/>
              <w:spacing w:after="0"/>
              <w:rPr>
                <w:sz w:val="20"/>
                <w:szCs w:val="20"/>
                <w:color w:val="auto"/>
              </w:rPr>
            </w:pPr>
            <w:r>
              <w:rPr>
                <w:rFonts w:ascii="Arial" w:cs="Arial" w:eastAsia="Arial" w:hAnsi="Arial"/>
                <w:sz w:val="20"/>
                <w:szCs w:val="20"/>
                <w:color w:val="auto"/>
              </w:rPr>
              <w:t>Title:</w:t>
            </w:r>
          </w:p>
        </w:tc>
        <w:tc>
          <w:tcPr>
            <w:tcW w:w="2180" w:type="dxa"/>
            <w:vAlign w:val="bottom"/>
            <w:gridSpan w:val="2"/>
          </w:tcPr>
          <w:p>
            <w:pPr>
              <w:ind w:left="260"/>
              <w:spacing w:after="0"/>
              <w:rPr>
                <w:sz w:val="20"/>
                <w:szCs w:val="20"/>
                <w:color w:val="auto"/>
              </w:rPr>
            </w:pPr>
            <w:r>
              <w:rPr>
                <w:rFonts w:ascii="Arial" w:cs="Arial" w:eastAsia="Arial" w:hAnsi="Arial"/>
                <w:sz w:val="20"/>
                <w:szCs w:val="20"/>
                <w:color w:val="auto"/>
                <w:w w:val="88"/>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3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5920" w:type="dxa"/>
            <w:vAlign w:val="bottom"/>
            <w:gridSpan w:val="4"/>
          </w:tcPr>
          <w:p>
            <w:pPr>
              <w:ind w:left="2160"/>
              <w:spacing w:after="0"/>
              <w:rPr>
                <w:sz w:val="20"/>
                <w:szCs w:val="20"/>
                <w:color w:val="auto"/>
              </w:rPr>
            </w:pPr>
            <w:r>
              <w:rPr>
                <w:rFonts w:ascii="Arial" w:cs="Arial" w:eastAsia="Arial" w:hAnsi="Arial"/>
                <w:sz w:val="20"/>
                <w:szCs w:val="20"/>
                <w:color w:val="auto"/>
              </w:rPr>
              <w:t>BANK OF AMERICA, N.A.,</w:t>
            </w:r>
          </w:p>
        </w:tc>
      </w:tr>
      <w:tr>
        <w:trPr>
          <w:trHeight w:val="254"/>
        </w:trPr>
        <w:tc>
          <w:tcPr>
            <w:tcW w:w="900" w:type="dxa"/>
            <w:vAlign w:val="bottom"/>
            <w:tcBorders>
              <w:top w:val="single" w:sz="8" w:color="auto"/>
            </w:tcBorders>
          </w:tcPr>
          <w:p>
            <w:pPr>
              <w:spacing w:after="0"/>
              <w:rPr>
                <w:sz w:val="22"/>
                <w:szCs w:val="22"/>
                <w:color w:val="auto"/>
              </w:rPr>
            </w:pPr>
          </w:p>
        </w:tc>
        <w:tc>
          <w:tcPr>
            <w:tcW w:w="2200" w:type="dxa"/>
            <w:vAlign w:val="bottom"/>
          </w:tcPr>
          <w:p>
            <w:pPr>
              <w:spacing w:after="0"/>
              <w:rPr>
                <w:sz w:val="22"/>
                <w:szCs w:val="22"/>
                <w:color w:val="auto"/>
              </w:rPr>
            </w:pPr>
          </w:p>
        </w:tc>
        <w:tc>
          <w:tcPr>
            <w:tcW w:w="5920" w:type="dxa"/>
            <w:vAlign w:val="bottom"/>
            <w:gridSpan w:val="4"/>
          </w:tcPr>
          <w:p>
            <w:pPr>
              <w:ind w:left="2180"/>
              <w:spacing w:after="0"/>
              <w:rPr>
                <w:sz w:val="20"/>
                <w:szCs w:val="20"/>
                <w:color w:val="auto"/>
              </w:rPr>
            </w:pPr>
            <w:r>
              <w:rPr>
                <w:rFonts w:ascii="Arial" w:cs="Arial" w:eastAsia="Arial" w:hAnsi="Arial"/>
                <w:sz w:val="20"/>
                <w:szCs w:val="20"/>
                <w:color w:val="auto"/>
                <w:w w:val="88"/>
              </w:rPr>
              <w:t>as a Lender, Swing Line Lender and L/C Issuer</w:t>
            </w:r>
          </w:p>
        </w:tc>
      </w:tr>
      <w:tr>
        <w:trPr>
          <w:trHeight w:val="509"/>
        </w:trPr>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920" w:type="dxa"/>
            <w:vAlign w:val="bottom"/>
            <w:gridSpan w:val="4"/>
          </w:tcPr>
          <w:p>
            <w:pPr>
              <w:ind w:left="2180"/>
              <w:spacing w:after="0"/>
              <w:rPr>
                <w:sz w:val="20"/>
                <w:szCs w:val="20"/>
                <w:color w:val="auto"/>
              </w:rPr>
            </w:pPr>
            <w:r>
              <w:rPr>
                <w:rFonts w:ascii="Arial" w:cs="Arial" w:eastAsia="Arial" w:hAnsi="Arial"/>
                <w:sz w:val="20"/>
                <w:szCs w:val="20"/>
                <w:color w:val="auto"/>
              </w:rPr>
              <w:t>By: /s/ Gregory J. Bosio</w:t>
            </w:r>
          </w:p>
        </w:tc>
      </w:tr>
      <w:tr>
        <w:trPr>
          <w:trHeight w:val="20"/>
        </w:trPr>
        <w:tc>
          <w:tcPr>
            <w:tcW w:w="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980" w:type="dxa"/>
            <w:vAlign w:val="bottom"/>
            <w:gridSpan w:val="2"/>
          </w:tcPr>
          <w:p>
            <w:pPr>
              <w:ind w:left="2180"/>
              <w:spacing w:after="0"/>
              <w:rPr>
                <w:sz w:val="20"/>
                <w:szCs w:val="20"/>
                <w:color w:val="auto"/>
              </w:rPr>
            </w:pPr>
            <w:r>
              <w:rPr>
                <w:rFonts w:ascii="Arial" w:cs="Arial" w:eastAsia="Arial" w:hAnsi="Arial"/>
                <w:sz w:val="20"/>
                <w:szCs w:val="20"/>
                <w:color w:val="auto"/>
              </w:rPr>
              <w:t>Name:</w:t>
            </w:r>
          </w:p>
        </w:tc>
        <w:tc>
          <w:tcPr>
            <w:tcW w:w="2940" w:type="dxa"/>
            <w:vAlign w:val="bottom"/>
            <w:gridSpan w:val="2"/>
          </w:tcPr>
          <w:p>
            <w:pPr>
              <w:ind w:left="380"/>
              <w:spacing w:after="0"/>
              <w:rPr>
                <w:sz w:val="20"/>
                <w:szCs w:val="20"/>
                <w:color w:val="auto"/>
              </w:rPr>
            </w:pPr>
            <w:r>
              <w:rPr>
                <w:rFonts w:ascii="Arial" w:cs="Arial" w:eastAsia="Arial" w:hAnsi="Arial"/>
                <w:sz w:val="20"/>
                <w:szCs w:val="20"/>
                <w:color w:val="auto"/>
              </w:rPr>
              <w:t>Gregory J. Bosio</w:t>
            </w:r>
          </w:p>
        </w:tc>
      </w:tr>
      <w:tr>
        <w:trPr>
          <w:trHeight w:val="250"/>
        </w:trPr>
        <w:tc>
          <w:tcPr>
            <w:tcW w:w="9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980" w:type="dxa"/>
            <w:vAlign w:val="bottom"/>
            <w:gridSpan w:val="2"/>
          </w:tcPr>
          <w:p>
            <w:pPr>
              <w:ind w:left="2180"/>
              <w:spacing w:after="0"/>
              <w:rPr>
                <w:sz w:val="20"/>
                <w:szCs w:val="20"/>
                <w:color w:val="auto"/>
              </w:rPr>
            </w:pPr>
            <w:r>
              <w:rPr>
                <w:rFonts w:ascii="Arial" w:cs="Arial" w:eastAsia="Arial" w:hAnsi="Arial"/>
                <w:sz w:val="20"/>
                <w:szCs w:val="20"/>
                <w:color w:val="auto"/>
              </w:rPr>
              <w:t>Title:</w:t>
            </w:r>
          </w:p>
        </w:tc>
        <w:tc>
          <w:tcPr>
            <w:tcW w:w="2940" w:type="dxa"/>
            <w:vAlign w:val="bottom"/>
            <w:gridSpan w:val="2"/>
          </w:tcPr>
          <w:p>
            <w:pPr>
              <w:ind w:left="26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8" w:name="page19"/>
    <w:bookmarkEnd w:id="18"/>
    <w:p>
      <w:pPr>
        <w:ind w:left="408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Wieslaw R. Sliwinski</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Wieslaw R. Sliwinski</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Officer</w:t>
      </w:r>
    </w:p>
    <w:p>
      <w:pPr>
        <w:spacing w:after="0" w:line="30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JPMORGAN CHASE BANK, N.A., TORONTO BRANCH,</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N.Tam</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Michael N. Tam</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52070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9" w:name="page20"/>
    <w:bookmarkEnd w:id="19"/>
    <w:p>
      <w:pPr>
        <w:ind w:left="4080"/>
        <w:spacing w:after="0"/>
        <w:rPr>
          <w:sz w:val="20"/>
          <w:szCs w:val="20"/>
          <w:color w:val="auto"/>
        </w:rPr>
      </w:pPr>
      <w:r>
        <w:rPr>
          <w:rFonts w:ascii="Arial" w:cs="Arial" w:eastAsia="Arial" w:hAnsi="Arial"/>
          <w:sz w:val="20"/>
          <w:szCs w:val="20"/>
          <w:color w:val="auto"/>
        </w:rPr>
        <w:t>HSBC BANK USA, NATIONAL ASSOCIATION,</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Alexander R. Caldiero</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Alexander R. Caldiero</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52070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20" w:name="page21"/>
    <w:bookmarkEnd w:id="20"/>
    <w:p>
      <w:pPr>
        <w:ind w:left="4080"/>
        <w:spacing w:after="0"/>
        <w:rPr>
          <w:sz w:val="20"/>
          <w:szCs w:val="20"/>
          <w:color w:val="auto"/>
        </w:rPr>
      </w:pPr>
      <w:r>
        <w:rPr>
          <w:rFonts w:ascii="Arial" w:cs="Arial" w:eastAsia="Arial" w:hAnsi="Arial"/>
          <w:sz w:val="20"/>
          <w:szCs w:val="20"/>
          <w:color w:val="auto"/>
        </w:rPr>
        <w:t>COMERICA BANK,</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Nicole Swigert</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Nicole Swigert</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52070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21" w:name="page22"/>
    <w:bookmarkEnd w:id="21"/>
    <w:p>
      <w:pPr>
        <w:ind w:left="4080"/>
        <w:spacing w:after="0"/>
        <w:rPr>
          <w:sz w:val="20"/>
          <w:szCs w:val="20"/>
          <w:color w:val="auto"/>
        </w:rPr>
      </w:pPr>
      <w:r>
        <w:rPr>
          <w:rFonts w:ascii="Arial" w:cs="Arial" w:eastAsia="Arial" w:hAnsi="Arial"/>
          <w:sz w:val="20"/>
          <w:szCs w:val="20"/>
          <w:color w:val="auto"/>
        </w:rPr>
        <w:t>THE HUNTINGTON NATIONAL BANK,</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N. Bartok</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William N. Bartok</w:t>
      </w:r>
    </w:p>
    <w:p>
      <w:pPr>
        <w:ind w:left="4080"/>
        <w:spacing w:after="0"/>
        <w:tabs>
          <w:tab w:leader="none" w:pos="51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52070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22" w:name="page23"/>
    <w:bookmarkEnd w:id="22"/>
    <w:p>
      <w:pPr>
        <w:ind w:left="4080"/>
        <w:spacing w:after="0"/>
        <w:rPr>
          <w:sz w:val="20"/>
          <w:szCs w:val="20"/>
          <w:color w:val="auto"/>
        </w:rPr>
      </w:pPr>
      <w:r>
        <w:rPr>
          <w:rFonts w:ascii="Arial" w:cs="Arial" w:eastAsia="Arial" w:hAnsi="Arial"/>
          <w:sz w:val="20"/>
          <w:szCs w:val="20"/>
          <w:color w:val="auto"/>
        </w:rPr>
        <w:t>KEYBANK NATIONAL ASSOCIATION,</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Clay Harris</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James Clay Harris</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Commercial Credit Analyst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52070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23" w:name="page24"/>
    <w:bookmarkEnd w:id="23"/>
    <w:p>
      <w:pPr>
        <w:ind w:left="4080"/>
        <w:spacing w:after="0"/>
        <w:rPr>
          <w:sz w:val="20"/>
          <w:szCs w:val="20"/>
          <w:color w:val="auto"/>
        </w:rPr>
      </w:pPr>
      <w:r>
        <w:rPr>
          <w:rFonts w:ascii="Arial" w:cs="Arial" w:eastAsia="Arial" w:hAnsi="Arial"/>
          <w:sz w:val="20"/>
          <w:szCs w:val="20"/>
          <w:color w:val="auto"/>
        </w:rPr>
        <w:t>PNC BANK, NATIONAL ASSOCIATION,</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Scott Neiderheide</w:t>
      </w:r>
    </w:p>
    <w:p>
      <w:pPr>
        <w:spacing w:after="0" w:line="15" w:lineRule="exact"/>
        <w:rPr>
          <w:sz w:val="20"/>
          <w:szCs w:val="20"/>
          <w:color w:val="auto"/>
        </w:rPr>
      </w:pPr>
    </w:p>
    <w:p>
      <w:pPr>
        <w:ind w:left="408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Scott Neiderheide</w:t>
      </w:r>
    </w:p>
    <w:p>
      <w:pPr>
        <w:ind w:left="408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GENTHERM INCORPORATED</w:t>
      </w:r>
    </w:p>
    <w:p>
      <w:pPr>
        <w:jc w:val="right"/>
        <w:spacing w:after="0"/>
        <w:rPr>
          <w:sz w:val="20"/>
          <w:szCs w:val="20"/>
          <w:color w:val="auto"/>
        </w:rPr>
      </w:pPr>
      <w:r>
        <w:rPr>
          <w:rFonts w:ascii="Arial" w:cs="Arial" w:eastAsia="Arial" w:hAnsi="Arial"/>
          <w:sz w:val="14"/>
          <w:szCs w:val="14"/>
          <w:color w:val="auto"/>
        </w:rPr>
        <w:t>FOURTH AMENDMENT TO CREDIT AGREEMENT</w:t>
      </w:r>
    </w:p>
    <w:sectPr>
      <w:pgSz w:w="11900" w:h="16838" w:orient="portrait"/>
      <w:cols w:equalWidth="0" w:num="1">
        <w:col w:w="10220"/>
      </w:cols>
      <w:pgMar w:left="14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lowerLetter"/>
      <w:start w:val="6"/>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2019-12-28T22:53:58Z</dcterms:created>
  <dcterms:modified xsi:type="dcterms:W3CDTF">2019-12-28T22:53:58Z</dcterms:modified>
</cp:coreProperties>
</file>